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CEA1" w14:textId="77777777" w:rsidR="001445D0" w:rsidRDefault="001445D0">
      <w:pPr>
        <w:spacing w:before="3000"/>
      </w:pPr>
    </w:p>
    <w:p w14:paraId="2CA0C6E3" w14:textId="77777777" w:rsidR="001445D0" w:rsidRDefault="00000000">
      <w:pPr>
        <w:spacing w:after="100"/>
        <w:jc w:val="center"/>
      </w:pPr>
      <w:r>
        <w:rPr>
          <w:rFonts w:ascii="Georgia" w:eastAsia="Georgia" w:hAnsi="Georgia" w:cs="Georgia"/>
          <w:b/>
          <w:bCs/>
          <w:color w:val="0B1D3A"/>
          <w:sz w:val="80"/>
          <w:szCs w:val="80"/>
        </w:rPr>
        <w:t>DCOS</w:t>
      </w:r>
    </w:p>
    <w:p w14:paraId="2EFAC87C" w14:textId="77777777" w:rsidR="001445D0" w:rsidRDefault="00000000">
      <w:pPr>
        <w:spacing w:after="60"/>
        <w:jc w:val="center"/>
      </w:pPr>
      <w:r>
        <w:rPr>
          <w:rFonts w:ascii="Georgia" w:eastAsia="Georgia" w:hAnsi="Georgia" w:cs="Georgia"/>
          <w:color w:val="142952"/>
          <w:sz w:val="32"/>
          <w:szCs w:val="32"/>
        </w:rPr>
        <w:t>Decision Control Operating System</w:t>
      </w:r>
    </w:p>
    <w:p w14:paraId="65EA049A" w14:textId="77777777" w:rsidR="001445D0" w:rsidRDefault="00000000">
      <w:pPr>
        <w:spacing w:before="200" w:after="200"/>
        <w:jc w:val="center"/>
      </w:pPr>
      <w:r>
        <w:rPr>
          <w:color w:val="C9A84C"/>
          <w:sz w:val="20"/>
          <w:szCs w:val="20"/>
        </w:rPr>
        <w:t>________________________________________</w:t>
      </w:r>
    </w:p>
    <w:p w14:paraId="5DBF73B1" w14:textId="77777777" w:rsidR="001445D0" w:rsidRDefault="00000000">
      <w:pPr>
        <w:spacing w:after="80"/>
        <w:jc w:val="center"/>
      </w:pPr>
      <w:r>
        <w:rPr>
          <w:rFonts w:ascii="Georgia" w:eastAsia="Georgia" w:hAnsi="Georgia" w:cs="Georgia"/>
          <w:b/>
          <w:bCs/>
          <w:color w:val="C9A84C"/>
          <w:sz w:val="28"/>
          <w:szCs w:val="28"/>
        </w:rPr>
        <w:t>STRATEGIC DEVELOPMENT PLAN</w:t>
      </w:r>
    </w:p>
    <w:p w14:paraId="14C62EC9" w14:textId="77777777" w:rsidR="001445D0" w:rsidRDefault="00000000">
      <w:pPr>
        <w:spacing w:after="40"/>
        <w:jc w:val="center"/>
      </w:pPr>
      <w:r>
        <w:rPr>
          <w:i/>
          <w:iCs/>
          <w:color w:val="142952"/>
          <w:sz w:val="24"/>
          <w:szCs w:val="24"/>
        </w:rPr>
        <w:t>From Specification to Global Adoption</w:t>
      </w:r>
    </w:p>
    <w:p w14:paraId="11FD9490" w14:textId="77777777" w:rsidR="001445D0" w:rsidRDefault="00000000">
      <w:pPr>
        <w:spacing w:after="40"/>
        <w:jc w:val="center"/>
      </w:pPr>
      <w:r>
        <w:rPr>
          <w:color w:val="142952"/>
          <w:sz w:val="24"/>
          <w:szCs w:val="24"/>
        </w:rPr>
        <w:t>Version 6.0</w:t>
      </w:r>
    </w:p>
    <w:p w14:paraId="5C375171" w14:textId="77777777" w:rsidR="001445D0" w:rsidRDefault="001445D0">
      <w:pPr>
        <w:spacing w:before="800"/>
      </w:pPr>
    </w:p>
    <w:p w14:paraId="513C49D2" w14:textId="77777777" w:rsidR="001445D0" w:rsidRDefault="00000000">
      <w:pPr>
        <w:jc w:val="center"/>
      </w:pPr>
      <w:r>
        <w:rPr>
          <w:i/>
          <w:iCs/>
          <w:color w:val="999999"/>
          <w:sz w:val="18"/>
          <w:szCs w:val="18"/>
        </w:rPr>
        <w:t>March 2026  |  Confidential</w:t>
      </w:r>
    </w:p>
    <w:p w14:paraId="10E8DB1A" w14:textId="77777777" w:rsidR="001445D0" w:rsidRDefault="001445D0">
      <w:pPr>
        <w:sectPr w:rsidR="001445D0">
          <w:pgSz w:w="12240" w:h="15840"/>
          <w:pgMar w:top="0" w:right="0" w:bottom="0" w:left="0" w:header="708" w:footer="708" w:gutter="0"/>
          <w:cols w:space="720"/>
          <w:docGrid w:linePitch="360"/>
        </w:sectPr>
      </w:pPr>
    </w:p>
    <w:p w14:paraId="502A37CE" w14:textId="77777777" w:rsidR="001445D0" w:rsidRDefault="00000000">
      <w:pPr>
        <w:spacing w:after="300"/>
      </w:pPr>
      <w:r>
        <w:rPr>
          <w:rFonts w:ascii="Georgia" w:eastAsia="Georgia" w:hAnsi="Georgia" w:cs="Georgia"/>
          <w:b/>
          <w:bCs/>
          <w:color w:val="0B1D3A"/>
          <w:sz w:val="36"/>
          <w:szCs w:val="36"/>
        </w:rPr>
        <w:lastRenderedPageBreak/>
        <w:t>TABLE OF CONTENTS</w:t>
      </w:r>
    </w:p>
    <w:p w14:paraId="7EABBEFC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1DCAD1FE" w14:textId="77777777" w:rsidR="001445D0" w:rsidRDefault="00000000">
      <w:pPr>
        <w:spacing w:after="120"/>
      </w:pPr>
      <w:r>
        <w:rPr>
          <w:color w:val="0B1D3A"/>
        </w:rPr>
        <w:t>1.  Purpose of This Document</w:t>
      </w:r>
    </w:p>
    <w:p w14:paraId="08E6CE46" w14:textId="77777777" w:rsidR="001445D0" w:rsidRDefault="00000000">
      <w:pPr>
        <w:spacing w:after="120"/>
      </w:pPr>
      <w:r>
        <w:rPr>
          <w:color w:val="0B1D3A"/>
        </w:rPr>
        <w:t>2.  Global Positioning: Where DCOS Sits in the Standards Landscape</w:t>
      </w:r>
    </w:p>
    <w:p w14:paraId="19841478" w14:textId="77777777" w:rsidR="001445D0" w:rsidRDefault="00000000">
      <w:pPr>
        <w:spacing w:after="120"/>
      </w:pPr>
      <w:r>
        <w:rPr>
          <w:color w:val="0B1D3A"/>
        </w:rPr>
        <w:t>3.  Benchmark: How Global Standards Achieved Adoption</w:t>
      </w:r>
    </w:p>
    <w:p w14:paraId="7B120C8B" w14:textId="77777777" w:rsidR="001445D0" w:rsidRDefault="00000000">
      <w:pPr>
        <w:spacing w:after="120"/>
      </w:pPr>
      <w:r>
        <w:rPr>
          <w:color w:val="0B1D3A"/>
        </w:rPr>
        <w:t>4.  Development Strategy in 4 Phases</w:t>
      </w:r>
    </w:p>
    <w:p w14:paraId="7E781F3D" w14:textId="77777777" w:rsidR="001445D0" w:rsidRDefault="00000000">
      <w:pPr>
        <w:spacing w:after="120"/>
      </w:pPr>
      <w:r>
        <w:rPr>
          <w:color w:val="0B1D3A"/>
        </w:rPr>
        <w:t>5.  Institutional Implementation Methodology</w:t>
      </w:r>
    </w:p>
    <w:p w14:paraId="615352D5" w14:textId="77777777" w:rsidR="001445D0" w:rsidRDefault="00000000">
      <w:pPr>
        <w:spacing w:after="120"/>
      </w:pPr>
      <w:r>
        <w:rPr>
          <w:color w:val="0B1D3A"/>
        </w:rPr>
        <w:t>6.  Governance Model &amp; Evolution</w:t>
      </w:r>
    </w:p>
    <w:p w14:paraId="549D8FF7" w14:textId="77777777" w:rsidR="001445D0" w:rsidRDefault="00000000">
      <w:pPr>
        <w:spacing w:after="120"/>
      </w:pPr>
      <w:r>
        <w:rPr>
          <w:color w:val="0B1D3A"/>
        </w:rPr>
        <w:t>7.  Certification Ecosystem</w:t>
      </w:r>
    </w:p>
    <w:p w14:paraId="3BA8E7B9" w14:textId="77777777" w:rsidR="001445D0" w:rsidRDefault="00000000">
      <w:pPr>
        <w:spacing w:after="120"/>
      </w:pPr>
      <w:r>
        <w:rPr>
          <w:color w:val="0B1D3A"/>
        </w:rPr>
        <w:t>8.  Revenue Model &amp; Economic Strategy</w:t>
      </w:r>
    </w:p>
    <w:p w14:paraId="59CE7ABF" w14:textId="77777777" w:rsidR="001445D0" w:rsidRDefault="00000000">
      <w:pPr>
        <w:spacing w:after="120"/>
      </w:pPr>
      <w:r>
        <w:rPr>
          <w:color w:val="0B1D3A"/>
        </w:rPr>
        <w:t>9.  Dashboard Methodology &amp; KPIs</w:t>
      </w:r>
    </w:p>
    <w:p w14:paraId="6147E9B8" w14:textId="77777777" w:rsidR="001445D0" w:rsidRDefault="00000000">
      <w:pPr>
        <w:spacing w:after="120"/>
      </w:pPr>
      <w:r>
        <w:rPr>
          <w:color w:val="0B1D3A"/>
        </w:rPr>
        <w:t>10.  Communication &amp; Visibility Strategy</w:t>
      </w:r>
    </w:p>
    <w:p w14:paraId="1EDE2D1C" w14:textId="77777777" w:rsidR="001445D0" w:rsidRDefault="00000000">
      <w:pPr>
        <w:spacing w:after="120"/>
      </w:pPr>
      <w:r>
        <w:rPr>
          <w:color w:val="0B1D3A"/>
        </w:rPr>
        <w:t>11.  30-60-90 Day Activation Plan</w:t>
      </w:r>
    </w:p>
    <w:p w14:paraId="4C7548EA" w14:textId="77777777" w:rsidR="001445D0" w:rsidRDefault="00000000">
      <w:pPr>
        <w:spacing w:after="120"/>
      </w:pPr>
      <w:r>
        <w:rPr>
          <w:color w:val="0B1D3A"/>
        </w:rPr>
        <w:t>12.  Risk Matrix &amp; Mitigation</w:t>
      </w:r>
    </w:p>
    <w:p w14:paraId="4A7B0642" w14:textId="77777777" w:rsidR="001445D0" w:rsidRDefault="00000000">
      <w:pPr>
        <w:spacing w:after="120"/>
      </w:pPr>
      <w:r>
        <w:rPr>
          <w:color w:val="0B1D3A"/>
        </w:rPr>
        <w:t>13.  12-Month Success Metrics</w:t>
      </w:r>
    </w:p>
    <w:p w14:paraId="6CABF63A" w14:textId="77777777" w:rsidR="001445D0" w:rsidRDefault="00000000">
      <w:pPr>
        <w:spacing w:after="120"/>
      </w:pPr>
      <w:r>
        <w:rPr>
          <w:color w:val="0B1D3A"/>
        </w:rPr>
        <w:t>14.  Resource Requirements</w:t>
      </w:r>
    </w:p>
    <w:p w14:paraId="1C1210A0" w14:textId="77777777" w:rsidR="001445D0" w:rsidRDefault="001445D0">
      <w:pPr>
        <w:sectPr w:rsidR="001445D0">
          <w:headerReference w:type="default" r:id="rId7"/>
          <w:footerReference w:type="default" r:id="rId8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C147FD8" w14:textId="77777777" w:rsidR="001445D0" w:rsidRDefault="00000000">
      <w:pPr>
        <w:pStyle w:val="Heading1"/>
      </w:pPr>
      <w:r>
        <w:lastRenderedPageBreak/>
        <w:t>1. Purpose of This Document</w:t>
      </w:r>
    </w:p>
    <w:p w14:paraId="39798ABD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659365B0" w14:textId="77777777" w:rsidR="001445D0" w:rsidRDefault="00000000">
      <w:pPr>
        <w:spacing w:after="200"/>
        <w:jc w:val="center"/>
      </w:pPr>
      <w:r>
        <w:rPr>
          <w:b/>
          <w:bCs/>
          <w:i/>
          <w:iCs/>
          <w:color w:val="0B1D3A"/>
          <w:sz w:val="24"/>
          <w:szCs w:val="24"/>
        </w:rPr>
        <w:t>How do we take DCOS from an intellectual specification to a globally adopted, certified, and value-generating standard?</w:t>
      </w:r>
    </w:p>
    <w:p w14:paraId="62B10C7E" w14:textId="77777777" w:rsidR="001445D0" w:rsidRDefault="00000000">
      <w:pPr>
        <w:spacing w:after="120"/>
        <w:jc w:val="both"/>
      </w:pPr>
      <w:r>
        <w:rPr>
          <w:color w:val="333333"/>
        </w:rPr>
        <w:t>To answer this, the document draws on in-depth research into the development trajectories of 8 global standards (ISO 9001/27001, TOGAF, COBIT, CMMI, ITIL, GRI, PMBOK, Basel Accords) to extract proven strategies and adapt them to the DCOS case.</w:t>
      </w:r>
    </w:p>
    <w:p w14:paraId="3D392BC5" w14:textId="77777777" w:rsidR="001445D0" w:rsidRDefault="00000000">
      <w:pPr>
        <w:spacing w:after="120"/>
        <w:jc w:val="both"/>
      </w:pPr>
      <w:r>
        <w:rPr>
          <w:color w:val="333333"/>
        </w:rPr>
        <w:t>It covers: competitive positioning, development strategy, implementation methodology, economic model, certification ecosystem, dashboard methodology, activation plan, and risks.</w:t>
      </w:r>
    </w:p>
    <w:p w14:paraId="5550F0EB" w14:textId="78687844" w:rsidR="001445D0" w:rsidRDefault="001445D0"/>
    <w:p w14:paraId="1D3744BC" w14:textId="77777777" w:rsidR="001445D0" w:rsidRDefault="00000000">
      <w:pPr>
        <w:pStyle w:val="Heading1"/>
      </w:pPr>
      <w:r>
        <w:t>2. Global Positioning</w:t>
      </w:r>
    </w:p>
    <w:p w14:paraId="6C54A035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05930F23" w14:textId="77777777" w:rsidR="001445D0" w:rsidRDefault="00000000">
      <w:pPr>
        <w:spacing w:after="120"/>
        <w:jc w:val="both"/>
      </w:pPr>
      <w:r>
        <w:rPr>
          <w:color w:val="333333"/>
        </w:rPr>
        <w:t>Analysis of existing standards reveals a vacant space that DCOS alone occupies. No existing standard governs the complete lifecycle of an institutional decision.</w:t>
      </w:r>
    </w:p>
    <w:p w14:paraId="75B86B2F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Positioning Map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3780"/>
        <w:gridCol w:w="3780"/>
      </w:tblGrid>
      <w:tr w:rsidR="001445D0" w14:paraId="5578F03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F4D020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Layer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E14499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Existing Standards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118DC7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Decision Coverage</w:t>
            </w:r>
          </w:p>
        </w:tc>
      </w:tr>
      <w:tr w:rsidR="001445D0" w14:paraId="49C0E04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A487F6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Regulatory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00A64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Basel III, National regulations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F70D2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Compliance only — no decision governance</w:t>
            </w:r>
          </w:p>
        </w:tc>
      </w:tr>
      <w:tr w:rsidR="001445D0" w14:paraId="57FE15C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689302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Governance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DC625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COBIT (IT), GRI (ESG)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B52FF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Partial — limited to one domain (IT or ESG)</w:t>
            </w:r>
          </w:p>
        </w:tc>
      </w:tr>
      <w:tr w:rsidR="001445D0" w14:paraId="0BF2924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978270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Management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73CD2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ISO 9001, ISO 27001, PMBOK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92B33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Process &amp; quality — not the decision lifecycle</w:t>
            </w:r>
          </w:p>
        </w:tc>
      </w:tr>
      <w:tr w:rsidR="001445D0" w14:paraId="24D661C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E2C8AB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Operations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39334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ITIL, TOGAF, CMMI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70AE2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Execution &amp; maturity — not intent or impact</w:t>
            </w:r>
          </w:p>
        </w:tc>
      </w:tr>
      <w:tr w:rsidR="001445D0" w14:paraId="07869CF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71743E" w14:textId="77777777" w:rsidR="001445D0" w:rsidRDefault="00000000">
            <w:pPr>
              <w:spacing w:after="40"/>
            </w:pPr>
            <w:r>
              <w:rPr>
                <w:b/>
                <w:bCs/>
                <w:color w:val="0B1D3A"/>
                <w:sz w:val="20"/>
                <w:szCs w:val="20"/>
              </w:rPr>
              <w:t>Decision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8558C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DCOS (unique)</w:t>
            </w:r>
          </w:p>
        </w:tc>
        <w:tc>
          <w:tcPr>
            <w:tcW w:w="37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AB6D22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Full cycle: intent → viability → control → impact</w:t>
            </w:r>
          </w:p>
        </w:tc>
      </w:tr>
    </w:tbl>
    <w:p w14:paraId="523FE9D2" w14:textId="77777777" w:rsidR="001445D0" w:rsidRDefault="001445D0">
      <w:pPr>
        <w:spacing w:before="200"/>
      </w:pPr>
    </w:p>
    <w:p w14:paraId="15C7A48D" w14:textId="77777777" w:rsidR="00226DC0" w:rsidRDefault="00226DC0">
      <w:pPr>
        <w:spacing w:before="200"/>
      </w:pPr>
    </w:p>
    <w:p w14:paraId="586C6DCA" w14:textId="77777777" w:rsidR="00226DC0" w:rsidRDefault="00226DC0">
      <w:pPr>
        <w:spacing w:before="200"/>
      </w:pPr>
    </w:p>
    <w:p w14:paraId="2EC2FF8F" w14:textId="77777777" w:rsidR="00226DC0" w:rsidRDefault="00226DC0">
      <w:pPr>
        <w:spacing w:before="200"/>
      </w:pPr>
    </w:p>
    <w:p w14:paraId="78FA0B6E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lastRenderedPageBreak/>
        <w:t>Key Differentiation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680"/>
        <w:gridCol w:w="3680"/>
      </w:tblGrid>
      <w:tr w:rsidR="001445D0" w14:paraId="75FFBE8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957B9D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Standard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B40B3B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What It Governs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1F9E11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What It Lacks (That DCOS Covers)</w:t>
            </w:r>
          </w:p>
        </w:tc>
      </w:tr>
      <w:tr w:rsidR="001445D0" w14:paraId="1AAAEB6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3D1E6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COBIT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43BB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IT governance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32F34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All non-IT decisions, viability, behavior, attributed impact</w:t>
            </w:r>
          </w:p>
        </w:tc>
      </w:tr>
      <w:tr w:rsidR="001445D0" w14:paraId="27BEA07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162371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ISO 9001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5A748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Process quality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35A317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Decision quality, synchronization, resilience</w:t>
            </w:r>
          </w:p>
        </w:tc>
      </w:tr>
      <w:tr w:rsidR="001445D0" w14:paraId="46E5363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1E645F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PMBOK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FD6F5F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Project management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A667B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Governance of the decisions that create projects</w:t>
            </w:r>
          </w:p>
        </w:tc>
      </w:tr>
      <w:tr w:rsidR="001445D0" w14:paraId="652BD56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5D9CF1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TOGAF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5AB5E6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Enterprise architecture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01050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Decision control, impact measurement, learning</w:t>
            </w:r>
          </w:p>
        </w:tc>
      </w:tr>
      <w:tr w:rsidR="001445D0" w14:paraId="0967A32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A5EEA3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ITIL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C0BB7B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IT services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E5367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Strategic decisions, behavioral alignment</w:t>
            </w:r>
          </w:p>
        </w:tc>
      </w:tr>
      <w:tr w:rsidR="001445D0" w14:paraId="78D31B5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EB489D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Basel III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4D9E6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Capital adequacy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C1C5E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Decision architecture beyond finance</w:t>
            </w:r>
          </w:p>
        </w:tc>
      </w:tr>
    </w:tbl>
    <w:p w14:paraId="55CDD22B" w14:textId="77777777" w:rsidR="001445D0" w:rsidRDefault="001445D0">
      <w:pPr>
        <w:spacing w:before="100"/>
      </w:pPr>
    </w:p>
    <w:p w14:paraId="5404A08C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Conclusion: </w:t>
      </w:r>
      <w:r>
        <w:rPr>
          <w:color w:val="333333"/>
        </w:rPr>
        <w:t>DCOS does not replace any existing standard. It provides the missing decision governance layer above them — the one that ensures decisions survive the journey from intent to measurable impact.</w:t>
      </w:r>
    </w:p>
    <w:p w14:paraId="50900E66" w14:textId="09D2DF07" w:rsidR="001445D0" w:rsidRDefault="001445D0"/>
    <w:p w14:paraId="41853C57" w14:textId="77777777" w:rsidR="001445D0" w:rsidRDefault="00000000">
      <w:pPr>
        <w:pStyle w:val="Heading1"/>
      </w:pPr>
      <w:r>
        <w:t>3. Benchmark: How Global Standards Achieved Adoption</w:t>
      </w:r>
    </w:p>
    <w:p w14:paraId="2F68B4EA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5EF150A5" w14:textId="77777777" w:rsidR="001445D0" w:rsidRDefault="00000000">
      <w:pPr>
        <w:spacing w:after="120"/>
        <w:jc w:val="both"/>
      </w:pPr>
      <w:r>
        <w:rPr>
          <w:color w:val="333333"/>
        </w:rPr>
        <w:t>Analysis of 8 global standards reveals 5 systematic success patterns and key data to calibrate our strategy.</w:t>
      </w:r>
    </w:p>
    <w:p w14:paraId="6AAFA966" w14:textId="77777777" w:rsidR="001445D0" w:rsidRDefault="00000000">
      <w:pPr>
        <w:pStyle w:val="Heading2"/>
      </w:pPr>
      <w:r>
        <w:t>3.1 Comparative 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200"/>
        <w:gridCol w:w="1800"/>
        <w:gridCol w:w="1960"/>
        <w:gridCol w:w="1800"/>
      </w:tblGrid>
      <w:tr w:rsidR="001445D0" w14:paraId="5208D26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00297A0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Standard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7FD2B5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Origin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C32DB6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Time to Adopt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BD95A7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Certified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230F24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Key Revenue</w:t>
            </w:r>
          </w:p>
        </w:tc>
      </w:tr>
      <w:tr w:rsidR="001445D0" w14:paraId="522CC80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7DDDFE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ISO 9001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BA21CD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National std (BS 5750)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AFAF1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10-15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DC8AFA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1.4M+ orgs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CC643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$16B (cert. market)</w:t>
            </w:r>
          </w:p>
        </w:tc>
      </w:tr>
      <w:tr w:rsidR="001445D0" w14:paraId="76C93E0E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0283AB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TOGAF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8209C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US DoD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BD8B73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14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9BC68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167K+ individuals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1BAD0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Cert. exams</w:t>
            </w:r>
          </w:p>
        </w:tc>
      </w:tr>
      <w:tr w:rsidR="001445D0" w14:paraId="6108CE39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5E837E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COBIT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E73B89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Audit community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E3CA8A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10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DDECD1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170K+ ISACA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D30237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Certifications</w:t>
            </w:r>
          </w:p>
        </w:tc>
      </w:tr>
      <w:tr w:rsidR="001445D0" w14:paraId="1817EAA1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DC3D2C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CMMI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237A02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Carnegie Mellon/SEI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0C5AF8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9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0AB76E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Thousands of orgs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2BEC61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$50-200K/appraisal</w:t>
            </w:r>
          </w:p>
        </w:tc>
      </w:tr>
      <w:tr w:rsidR="001445D0" w14:paraId="2814E51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90EE7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ITIL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192C1E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UK Government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BE290E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12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39D3BB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3M+ individuals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7C780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£380M (acquisition)</w:t>
            </w:r>
          </w:p>
        </w:tc>
      </w:tr>
      <w:tr w:rsidR="001445D0" w14:paraId="1DAE43CD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A50FE0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GRI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5ED587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NGO post-Exxon Valdez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3244A7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15-20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80A5BE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10K+ orgs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633327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Grants (free std)</w:t>
            </w:r>
          </w:p>
        </w:tc>
      </w:tr>
      <w:tr w:rsidR="001445D0" w14:paraId="11E12F8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6BC0C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lastRenderedPageBreak/>
              <w:t>PMBOK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CF59B3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PMI association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B105D6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15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39CC78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1.58M+ PMP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65D675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$108M+ (membership)</w:t>
            </w:r>
          </w:p>
        </w:tc>
      </w:tr>
      <w:tr w:rsidR="001445D0" w14:paraId="28F53E4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EA35C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Basel</w:t>
            </w:r>
          </w:p>
        </w:tc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1DC8F1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Central banks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B2A17D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5 yrs</w:t>
            </w:r>
          </w:p>
        </w:tc>
        <w:tc>
          <w:tcPr>
            <w:tcW w:w="19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EA0D60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Regulatory</w:t>
            </w:r>
          </w:p>
        </w:tc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101B53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Regulatory model</w:t>
            </w:r>
          </w:p>
        </w:tc>
      </w:tr>
    </w:tbl>
    <w:p w14:paraId="6364199D" w14:textId="77777777" w:rsidR="001445D0" w:rsidRDefault="001445D0">
      <w:pPr>
        <w:spacing w:before="200"/>
      </w:pPr>
    </w:p>
    <w:p w14:paraId="12378FBA" w14:textId="77777777" w:rsidR="001445D0" w:rsidRDefault="00000000">
      <w:pPr>
        <w:pStyle w:val="Heading2"/>
      </w:pPr>
      <w:r>
        <w:t>3.2 The 5 Success Patterns</w:t>
      </w:r>
    </w:p>
    <w:p w14:paraId="7891976D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Pattern 1: Crisis or Pain Point as Catalyst</w:t>
      </w:r>
    </w:p>
    <w:p w14:paraId="046B2E08" w14:textId="77777777" w:rsidR="001445D0" w:rsidRDefault="00000000">
      <w:pPr>
        <w:spacing w:after="120"/>
        <w:jc w:val="both"/>
      </w:pPr>
      <w:r>
        <w:rPr>
          <w:color w:val="333333"/>
        </w:rPr>
        <w:t>Every standard emerged from a recognized problem: inconsistent quality (ISO 9001), security threats (ISO 27001), architectural chaos (TOGAF), software failures (CMMI), Exxon Valdez (GRI). For DCOS: the catalyst already exists — 70% of digital transformations fail, $1T+ annual cost of poor strategic decisions.</w:t>
      </w:r>
    </w:p>
    <w:p w14:paraId="1ED19EEF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Pattern 2: Start Narrow, Expand Progressively</w:t>
      </w:r>
    </w:p>
    <w:p w14:paraId="6ACAE8E0" w14:textId="77777777" w:rsidR="001445D0" w:rsidRDefault="00000000">
      <w:pPr>
        <w:spacing w:after="120"/>
        <w:jc w:val="both"/>
      </w:pPr>
      <w:r>
        <w:rPr>
          <w:color w:val="333333"/>
        </w:rPr>
        <w:t>COBIT went from audit tool to enterprise governance. CMMI went from software to services. ITIL went from government IT to universal service management. Lesson for DCOS: start with one sector (international organizations or government) before generalizing.</w:t>
      </w:r>
    </w:p>
    <w:p w14:paraId="0554C01B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Pattern 3: Free Standard, Monetize the Ecosystem</w:t>
      </w:r>
    </w:p>
    <w:p w14:paraId="1F5A807C" w14:textId="77777777" w:rsidR="001445D0" w:rsidRDefault="00000000">
      <w:pPr>
        <w:spacing w:after="120"/>
        <w:jc w:val="both"/>
      </w:pPr>
      <w:r>
        <w:rPr>
          <w:color w:val="333333"/>
        </w:rPr>
        <w:t>GRI and Basel offer their standards for free. Even ISO generates most revenue through the certification ecosystem ($16B), not standard sales. Lesson: the DCOS standard must be freely accessible. Revenue comes from certification, training, and tools.</w:t>
      </w:r>
    </w:p>
    <w:p w14:paraId="6DFFE31F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Pattern 4: Certification Creates Self-Sustaining Ecosystems</w:t>
      </w:r>
    </w:p>
    <w:p w14:paraId="0CB90072" w14:textId="77777777" w:rsidR="001445D0" w:rsidRDefault="00000000">
      <w:pPr>
        <w:spacing w:after="120"/>
        <w:jc w:val="both"/>
      </w:pPr>
      <w:r>
        <w:rPr>
          <w:color w:val="333333"/>
        </w:rPr>
        <w:t>ITIL has 3M+ certified professionals. PMP has 1.58M+. These certified professionals become evangelists who create demand. When certification becomes a hiring requirement, the standard becomes self-sustaining.</w:t>
      </w:r>
    </w:p>
    <w:p w14:paraId="3052C359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Pattern 5: Institutional Partnership = 5-10 Year Accelerator</w:t>
      </w:r>
    </w:p>
    <w:p w14:paraId="721CEE11" w14:textId="77777777" w:rsidR="001445D0" w:rsidRDefault="00000000">
      <w:pPr>
        <w:spacing w:after="120"/>
        <w:jc w:val="both"/>
      </w:pPr>
      <w:r>
        <w:rPr>
          <w:color w:val="333333"/>
        </w:rPr>
        <w:t>GRI accelerated through UNEP. CMMI through the DoD. ITIL through the UK government. A single partnership with a multilateral organization (such as ICESCO) can compress adoption timelines from 15 years to 5-7 years. This is DCOS’s major strategic advantage.</w:t>
      </w:r>
    </w:p>
    <w:p w14:paraId="5AE5FFFB" w14:textId="77777777" w:rsidR="001445D0" w:rsidRDefault="00000000">
      <w:r>
        <w:br w:type="page"/>
      </w:r>
    </w:p>
    <w:p w14:paraId="449A1920" w14:textId="77777777" w:rsidR="001445D0" w:rsidRDefault="00000000">
      <w:pPr>
        <w:pStyle w:val="Heading1"/>
      </w:pPr>
      <w:r>
        <w:lastRenderedPageBreak/>
        <w:t>4. Development Strategy in 4 Phases</w:t>
      </w:r>
    </w:p>
    <w:p w14:paraId="66C2AB67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553672E5" w14:textId="77777777" w:rsidR="001445D0" w:rsidRDefault="00000000">
      <w:pPr>
        <w:spacing w:after="120"/>
        <w:jc w:val="both"/>
      </w:pPr>
      <w:r>
        <w:rPr>
          <w:color w:val="333333"/>
        </w:rPr>
        <w:t>The timeline is informed by global benchmarks: 10-15 years for worldwide recognition, with demonstrable intermediate milestones within 6 months.</w:t>
      </w:r>
    </w:p>
    <w:p w14:paraId="24E2AB49" w14:textId="77777777" w:rsidR="001445D0" w:rsidRDefault="00000000">
      <w:pPr>
        <w:pStyle w:val="Heading2"/>
      </w:pPr>
      <w:r>
        <w:t>Phase 1 — Foundation &amp; Specification (Q1–Q2 2026)</w:t>
      </w:r>
    </w:p>
    <w:p w14:paraId="26D1DF2C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Objective: </w:t>
      </w:r>
      <w:r>
        <w:rPr>
          <w:color w:val="333333"/>
        </w:rPr>
        <w:t>Finalize the specification, demonstrate value, establish presence.</w:t>
      </w:r>
    </w:p>
    <w:p w14:paraId="5C6B51A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Formal v6.0 specification: </w:t>
      </w:r>
      <w:r>
        <w:rPr>
          <w:color w:val="333333"/>
        </w:rPr>
        <w:t>Layer-by-layer document with control objectives, evidence criteria, audit metrics. Model: ISO structure (SHALL statements).</w:t>
      </w:r>
    </w:p>
    <w:p w14:paraId="1C2970F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Free self-assessment tool: </w:t>
      </w:r>
      <w:r>
        <w:rPr>
          <w:color w:val="333333"/>
        </w:rPr>
        <w:t>Allow any institution to measure its decision governance maturity in 15 minutes. This is the “gateway product” (GRI pattern: free standard = massive adoption).</w:t>
      </w:r>
    </w:p>
    <w:p w14:paraId="7CE00ED1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Executive Dashboard v2: </w:t>
      </w:r>
      <w:r>
        <w:rPr>
          <w:color w:val="333333"/>
        </w:rPr>
        <w:t>Production version with institution-configurable data (not demo-only).</w:t>
      </w:r>
    </w:p>
    <w:p w14:paraId="3AA56CA0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Public web portal: </w:t>
      </w:r>
      <w:r>
        <w:rPr>
          <w:color w:val="333333"/>
        </w:rPr>
        <w:t>Complete system documentation, development plan, interactive tools.</w:t>
      </w:r>
    </w:p>
    <w:p w14:paraId="774503F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First publications: </w:t>
      </w:r>
      <w:r>
        <w:rPr>
          <w:color w:val="333333"/>
        </w:rPr>
        <w:t>5 LinkedIn posts + 1 long-form article grounded in data (not promotion).</w:t>
      </w:r>
    </w:p>
    <w:p w14:paraId="2DB65D19" w14:textId="77777777" w:rsidR="001445D0" w:rsidRDefault="00000000">
      <w:pPr>
        <w:pStyle w:val="Heading2"/>
      </w:pPr>
      <w:r>
        <w:t>Phase 2 — Tooling &amp; Validation (Q3–Q4 2026)</w:t>
      </w:r>
    </w:p>
    <w:p w14:paraId="481E424D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Objective: </w:t>
      </w:r>
      <w:r>
        <w:rPr>
          <w:color w:val="333333"/>
        </w:rPr>
        <w:t>Build the tools, validate academically, prepare the pilot.</w:t>
      </w:r>
    </w:p>
    <w:p w14:paraId="4BE262F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Sector guides: </w:t>
      </w:r>
      <w:r>
        <w:rPr>
          <w:color w:val="333333"/>
        </w:rPr>
        <w:t>6 sectors (healthcare, finance, defense, government, infrastructure, technology) with sector-specific adaptations of the 14 layers.</w:t>
      </w:r>
    </w:p>
    <w:p w14:paraId="46FC1D50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Academic submission: </w:t>
      </w:r>
      <w:r>
        <w:rPr>
          <w:color w:val="333333"/>
        </w:rPr>
        <w:t>2 peer-review papers on theoretical foundations (IQP, DIEM). Academic validation is what gave CMMI its initial credibility.</w:t>
      </w:r>
    </w:p>
    <w:p w14:paraId="50FD4FA4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ISO/COBIT/TOGAF mapping: </w:t>
      </w:r>
      <w:r>
        <w:rPr>
          <w:color w:val="333333"/>
        </w:rPr>
        <w:t>Show how DCOS integrates with (not replaces) existing frameworks — lesson #1 of adoption.</w:t>
      </w:r>
    </w:p>
    <w:p w14:paraId="20E52EA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Pilot design: </w:t>
      </w:r>
      <w:r>
        <w:rPr>
          <w:color w:val="333333"/>
        </w:rPr>
        <w:t>Selection of 1-2 institutions for full implementation. Criteria: mid-size, innovation-minded, sector diversity.</w:t>
      </w:r>
    </w:p>
    <w:p w14:paraId="133BA1F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Practitioner toolkit v1: </w:t>
      </w:r>
      <w:r>
        <w:rPr>
          <w:color w:val="333333"/>
        </w:rPr>
        <w:t>Templates, checklists, and assessment tools for early adopters.</w:t>
      </w:r>
    </w:p>
    <w:p w14:paraId="71C1971C" w14:textId="77777777" w:rsidR="001445D0" w:rsidRDefault="00000000">
      <w:pPr>
        <w:pStyle w:val="Heading2"/>
      </w:pPr>
      <w:r>
        <w:t>Phase 3 — Pilot &amp; Community (Q1–Q2 2027)</w:t>
      </w:r>
    </w:p>
    <w:p w14:paraId="2ACEFC38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Objective: </w:t>
      </w:r>
      <w:r>
        <w:rPr>
          <w:color w:val="333333"/>
        </w:rPr>
        <w:t>Prove DCOS in real institutional environments. Build the practitioner community.</w:t>
      </w:r>
    </w:p>
    <w:p w14:paraId="61AEAB2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First institutional pilot: </w:t>
      </w:r>
      <w:r>
        <w:rPr>
          <w:color w:val="333333"/>
        </w:rPr>
        <w:t>Full implementation, measured with our own IQP methodology (prove DCOS impact with DCOS tools).</w:t>
      </w:r>
    </w:p>
    <w:p w14:paraId="04E9344A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Certification program: </w:t>
      </w:r>
      <w:r>
        <w:rPr>
          <w:color w:val="333333"/>
        </w:rPr>
        <w:t>Launch first 2 levels (Foundation + Practitioner). ITIL pattern: certification creates evangelists.</w:t>
      </w:r>
    </w:p>
    <w:p w14:paraId="0187C00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Annual report: </w:t>
      </w:r>
      <w:r>
        <w:rPr>
          <w:color w:val="333333"/>
        </w:rPr>
        <w:t>First “Annual Decision Governance Report” — flagship publication benchmarking decision governance by sector and region.</w:t>
      </w:r>
    </w:p>
    <w:p w14:paraId="4FDF329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Community of practice: </w:t>
      </w:r>
      <w:r>
        <w:rPr>
          <w:color w:val="333333"/>
        </w:rPr>
        <w:t>Online platform. Practitioners share, the standard evolves (COBIT 2019 pattern: community feedback).</w:t>
      </w:r>
    </w:p>
    <w:p w14:paraId="40A3FD4E" w14:textId="77777777" w:rsidR="001445D0" w:rsidRDefault="00000000">
      <w:pPr>
        <w:pStyle w:val="Heading2"/>
      </w:pPr>
      <w:r>
        <w:lastRenderedPageBreak/>
        <w:t>Phase 4 — Scale &amp; Authority (Q3 2027+)</w:t>
      </w:r>
    </w:p>
    <w:p w14:paraId="6E397EB6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Objective: </w:t>
      </w:r>
      <w:r>
        <w:rPr>
          <w:color w:val="333333"/>
        </w:rPr>
        <w:t>Scale adoption globally. Establish DCOS as the authoritative standard.</w:t>
      </w:r>
    </w:p>
    <w:p w14:paraId="2EBF031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Multi-institution deployment: </w:t>
      </w:r>
      <w:r>
        <w:rPr>
          <w:color w:val="333333"/>
        </w:rPr>
        <w:t>10+ institutions, multi-sector, multi-region.</w:t>
      </w:r>
    </w:p>
    <w:p w14:paraId="70E6E75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Certification body: </w:t>
      </w:r>
      <w:r>
        <w:rPr>
          <w:color w:val="333333"/>
        </w:rPr>
        <w:t>Establish independent body (ISO pattern: separation of standard and certification).</w:t>
      </w:r>
    </w:p>
    <w:p w14:paraId="6546E2B4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ISO submission: </w:t>
      </w:r>
      <w:r>
        <w:rPr>
          <w:color w:val="333333"/>
        </w:rPr>
        <w:t>Preparation via national member body (IMANOR for Morocco, AFNOR for France). Target technical committee: ISO/TC 309 (Governance of organizations). Fast-track procedure possible.</w:t>
      </w:r>
    </w:p>
    <w:p w14:paraId="6B74004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Trilingual: </w:t>
      </w:r>
      <w:r>
        <w:rPr>
          <w:color w:val="333333"/>
        </w:rPr>
        <w:t>Full availability in English, French, and Arabic.</w:t>
      </w:r>
    </w:p>
    <w:p w14:paraId="5C3AE141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Realistic Timeline (Benchmark-Based)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2580"/>
        <w:gridCol w:w="2580"/>
      </w:tblGrid>
      <w:tr w:rsidR="001445D0" w14:paraId="08764AD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E06F6D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1F8942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Timeline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E16897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Benchmark</w:t>
            </w:r>
          </w:p>
        </w:tc>
      </w:tr>
      <w:tr w:rsidR="001445D0" w14:paraId="4F72135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22CA3D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v6.0 standard publication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B56AB6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2026 (in progress)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CBBF2E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ISO: 3 yrs/standard</w:t>
            </w:r>
          </w:p>
        </w:tc>
      </w:tr>
      <w:tr w:rsidR="001445D0" w14:paraId="2CC195B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5BC877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First institutional pilots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26665A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2026-2027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3184D4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1-2 yrs post-publication</w:t>
            </w:r>
          </w:p>
        </w:tc>
      </w:tr>
      <w:tr w:rsidR="001445D0" w14:paraId="5933488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98E85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First certification program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1541AC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2027-2028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851995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ITIL/COBIT: 2-5 yrs</w:t>
            </w:r>
          </w:p>
        </w:tc>
      </w:tr>
      <w:tr w:rsidR="001445D0" w14:paraId="189E047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71AC3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1,000 certified practitioners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E7D580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2028-2030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F67972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TOGAF: ~10 yrs to 10K</w:t>
            </w:r>
          </w:p>
        </w:tc>
      </w:tr>
      <w:tr w:rsidR="001445D0" w14:paraId="22DB9AF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1E6BA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Regulatory reference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159DE6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2030+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57300F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GRI: ~15 yrs</w:t>
            </w:r>
          </w:p>
        </w:tc>
      </w:tr>
      <w:tr w:rsidR="001445D0" w14:paraId="02A8719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D39F2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ISO submission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8CD32A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2032+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8DB6BE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Long-term aspiration</w:t>
            </w:r>
          </w:p>
        </w:tc>
      </w:tr>
      <w:tr w:rsidR="001445D0" w14:paraId="191C401D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1B5EAB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Global recognition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0B764E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2035+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C650F2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Avg. standards: 10-15 yrs</w:t>
            </w:r>
          </w:p>
        </w:tc>
      </w:tr>
    </w:tbl>
    <w:p w14:paraId="6BD45719" w14:textId="79C2CD5B" w:rsidR="001445D0" w:rsidRDefault="001445D0"/>
    <w:p w14:paraId="4C1E4D9F" w14:textId="77777777" w:rsidR="001445D0" w:rsidRDefault="00000000">
      <w:pPr>
        <w:pStyle w:val="Heading1"/>
      </w:pPr>
      <w:r>
        <w:t>5. Institutional Implementation Methodology</w:t>
      </w:r>
    </w:p>
    <w:p w14:paraId="4194AA0C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7F4C6DAA" w14:textId="77777777" w:rsidR="001445D0" w:rsidRDefault="00000000">
      <w:pPr>
        <w:spacing w:after="120"/>
        <w:jc w:val="both"/>
      </w:pPr>
      <w:r>
        <w:rPr>
          <w:color w:val="333333"/>
        </w:rPr>
        <w:t>Inspired by CMMI (maturity assessment cycle) and ISO 9001 (process approach), the DCOS methodology follows 5 cyclical stages.</w:t>
      </w:r>
    </w:p>
    <w:p w14:paraId="321814C2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Diagnose → Design → Deploy → Operate → Optimize</w:t>
      </w:r>
    </w:p>
    <w:p w14:paraId="60E13602" w14:textId="77777777" w:rsidR="001445D0" w:rsidRDefault="00000000">
      <w:pPr>
        <w:pStyle w:val="Heading2"/>
      </w:pPr>
      <w:r>
        <w:t>5.1 Diagnose (4-6 weeks)</w:t>
      </w:r>
    </w:p>
    <w:p w14:paraId="3AE1DB45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Decision audit: </w:t>
      </w:r>
      <w:r>
        <w:rPr>
          <w:color w:val="333333"/>
        </w:rPr>
        <w:t>Map all decision types, frequencies, stakeholders, and current governance mechanisms.</w:t>
      </w:r>
    </w:p>
    <w:p w14:paraId="05A5B92A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Maturity assessment: </w:t>
      </w:r>
      <w:r>
        <w:rPr>
          <w:color w:val="333333"/>
        </w:rPr>
        <w:t>Evaluate current state across the 5 DCOS levels (Fragmented → Structured → Integrated → Adaptive → Autonomous) across all 14 layers.</w:t>
      </w:r>
    </w:p>
    <w:p w14:paraId="41BD449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Gap analysis: </w:t>
      </w:r>
      <w:r>
        <w:rPr>
          <w:color w:val="333333"/>
        </w:rPr>
        <w:t>Identify critical governance gaps, prioritize by risk and potential impact.</w:t>
      </w:r>
    </w:p>
    <w:p w14:paraId="14FD47E0" w14:textId="77777777" w:rsidR="001445D0" w:rsidRDefault="00000000">
      <w:pPr>
        <w:pStyle w:val="Heading2"/>
      </w:pPr>
      <w:r>
        <w:lastRenderedPageBreak/>
        <w:t>5.2 Design (6-8 weeks)</w:t>
      </w:r>
    </w:p>
    <w:p w14:paraId="53BB08E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Activation sequence: </w:t>
      </w:r>
      <w:r>
        <w:rPr>
          <w:color w:val="333333"/>
        </w:rPr>
        <w:t>Layer activation order adapted to institutional context (foundation first: layers 1-4, then execution engine: 5-8, then intelligence: 9-12, then ecosystem: 13-14).</w:t>
      </w:r>
    </w:p>
    <w:p w14:paraId="49509BE5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Integration architecture: </w:t>
      </w:r>
      <w:r>
        <w:rPr>
          <w:color w:val="333333"/>
        </w:rPr>
        <w:t>Map DCOS to the institution’s existing frameworks (ISO, COBIT, TOGAF, internal governance).</w:t>
      </w:r>
    </w:p>
    <w:p w14:paraId="34797935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KPI framework: </w:t>
      </w:r>
      <w:r>
        <w:rPr>
          <w:color w:val="333333"/>
        </w:rPr>
        <w:t>Measurable indicators per layer, calibrated to institutional context.</w:t>
      </w:r>
    </w:p>
    <w:p w14:paraId="332BB800" w14:textId="77777777" w:rsidR="001445D0" w:rsidRDefault="00000000">
      <w:pPr>
        <w:pStyle w:val="Heading2"/>
      </w:pPr>
      <w:r>
        <w:t>5.3 Deploy (3-6 months)</w:t>
      </w:r>
    </w:p>
    <w:p w14:paraId="2F3EB85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Wave 1 — Foundation (layers 1-4): </w:t>
      </w:r>
      <w:r>
        <w:rPr>
          <w:color w:val="333333"/>
        </w:rPr>
        <w:t>Identity, intent, intelligence, viability. Establish invariants that protect all future decisions.</w:t>
      </w:r>
    </w:p>
    <w:p w14:paraId="14336B87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Wave 2 — Execution engine (layers 5-8): </w:t>
      </w:r>
      <w:r>
        <w:rPr>
          <w:color w:val="333333"/>
        </w:rPr>
        <w:t>Behavior, control, synchronization, resources. Activate operational governance.</w:t>
      </w:r>
    </w:p>
    <w:p w14:paraId="13B0E62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Wave 3 — Intelligence &amp; impact (layers 9-12): </w:t>
      </w:r>
      <w:r>
        <w:rPr>
          <w:color w:val="333333"/>
        </w:rPr>
        <w:t>AI, impact, resilience, external intelligence. Deploy as measurement capabilities mature.</w:t>
      </w:r>
    </w:p>
    <w:p w14:paraId="047AEE7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Wave 4 — Ecosystem (layers 13-14): </w:t>
      </w:r>
      <w:r>
        <w:rPr>
          <w:color w:val="333333"/>
        </w:rPr>
        <w:t>Institutional learning, stakeholders. Complete for compounding performance.</w:t>
      </w:r>
    </w:p>
    <w:p w14:paraId="7B1A3153" w14:textId="77777777" w:rsidR="001445D0" w:rsidRDefault="00000000">
      <w:pPr>
        <w:pStyle w:val="Heading2"/>
      </w:pPr>
      <w:r>
        <w:t>5.4 Operate &amp; Optimize (continuous)</w:t>
      </w:r>
    </w:p>
    <w:p w14:paraId="36E339E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Real-time dashboard: </w:t>
      </w:r>
      <w:r>
        <w:rPr>
          <w:color w:val="333333"/>
        </w:rPr>
        <w:t>Continuous decision health monitoring (detailed in Section 9).</w:t>
      </w:r>
    </w:p>
    <w:p w14:paraId="463163C1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Governance reviews: </w:t>
      </w:r>
      <w:r>
        <w:rPr>
          <w:color w:val="333333"/>
        </w:rPr>
        <w:t>Regular assessment cycles against DCOS criteria.</w:t>
      </w:r>
    </w:p>
    <w:p w14:paraId="6FCCC13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Maturity advancement: </w:t>
      </w:r>
      <w:r>
        <w:rPr>
          <w:color w:val="333333"/>
        </w:rPr>
        <w:t>Measurable progression through levels with defined milestones.</w:t>
      </w:r>
    </w:p>
    <w:p w14:paraId="1D1D86F1" w14:textId="77777777" w:rsidR="001445D0" w:rsidRDefault="00000000">
      <w:pPr>
        <w:pStyle w:val="Heading2"/>
      </w:pPr>
      <w:r>
        <w:t>5.5 Integration with Existing Frameworks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680"/>
        <w:gridCol w:w="3680"/>
      </w:tblGrid>
      <w:tr w:rsidR="001445D0" w14:paraId="3C9348C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CEA04C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Framework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E847CB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What It Provides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171BD4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DCOS Integration Point</w:t>
            </w:r>
          </w:p>
        </w:tc>
      </w:tr>
      <w:tr w:rsidR="001445D0" w14:paraId="45C3ABD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5B5C3E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ISO 9001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EEBCF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Quality management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D3648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Layers 4, 6, 10 — viability, control, impact</w:t>
            </w:r>
          </w:p>
        </w:tc>
      </w:tr>
      <w:tr w:rsidR="001445D0" w14:paraId="05F64D4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A41E0F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COBIT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22262C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IT governance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1F687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Layers 3, 6, 9 — intelligence, control, AI</w:t>
            </w:r>
          </w:p>
        </w:tc>
      </w:tr>
      <w:tr w:rsidR="001445D0" w14:paraId="46B57E0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00812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TOGAF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678A8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Enterprise architecture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39992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Layers 1-3 — identity, intent, intelligence</w:t>
            </w:r>
          </w:p>
        </w:tc>
      </w:tr>
      <w:tr w:rsidR="001445D0" w14:paraId="5C4E962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AFCA7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CMMI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F7633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Process maturity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A52378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Maturity Model — 5-level alignment</w:t>
            </w:r>
          </w:p>
        </w:tc>
      </w:tr>
      <w:tr w:rsidR="001445D0" w14:paraId="2202FC4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E3FF2F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Basel III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C188D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Financial risk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AA6C2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Layers 4, 11 — viability, resilience</w:t>
            </w:r>
          </w:p>
        </w:tc>
      </w:tr>
      <w:tr w:rsidR="001445D0" w14:paraId="64B26FF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95759A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GRI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CD832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Sustainability reporting</w:t>
            </w:r>
          </w:p>
        </w:tc>
        <w:tc>
          <w:tcPr>
            <w:tcW w:w="36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2DC38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Layer 10 — impact governance</w:t>
            </w:r>
          </w:p>
        </w:tc>
      </w:tr>
    </w:tbl>
    <w:p w14:paraId="2C7DA4AE" w14:textId="77777777" w:rsidR="001445D0" w:rsidRDefault="00000000">
      <w:r>
        <w:br w:type="page"/>
      </w:r>
    </w:p>
    <w:p w14:paraId="6B237429" w14:textId="77777777" w:rsidR="001445D0" w:rsidRDefault="00000000">
      <w:pPr>
        <w:pStyle w:val="Heading1"/>
      </w:pPr>
      <w:r>
        <w:lastRenderedPageBreak/>
        <w:t>6. Governance Model &amp; Evolution</w:t>
      </w:r>
    </w:p>
    <w:p w14:paraId="4A2C37A3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1D5F53E4" w14:textId="77777777" w:rsidR="001445D0" w:rsidRDefault="00000000">
      <w:pPr>
        <w:spacing w:after="120"/>
        <w:jc w:val="both"/>
      </w:pPr>
      <w:r>
        <w:rPr>
          <w:color w:val="333333"/>
        </w:rPr>
        <w:t>The analysis of global standards identifies 5 possible governance models. DCOS must choose an initial model and plan its evolution.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600"/>
        <w:gridCol w:w="2580"/>
        <w:gridCol w:w="2580"/>
      </w:tblGrid>
      <w:tr w:rsidR="001445D0" w14:paraId="33EB019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2205FA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Option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4C31D8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Model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210634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Advantages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F7F7D2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Disadvantages</w:t>
            </w:r>
          </w:p>
        </w:tc>
      </w:tr>
      <w:tr w:rsidR="001445D0" w14:paraId="4B8518F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A8D093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A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56859F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Professional association (like PMI)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51060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Self-sustaining, community-owned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E8D5A0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60BED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Requires large member base</w:t>
            </w:r>
          </w:p>
        </w:tc>
      </w:tr>
      <w:tr w:rsidR="001445D0" w14:paraId="1336756E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1B88AE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B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5769F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Industry consortium (like The Open Group)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88A15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Corporate buy-in, practical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A1549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Requires corporate sponsors</w:t>
            </w:r>
          </w:p>
        </w:tc>
      </w:tr>
      <w:tr w:rsidR="001445D0" w14:paraId="3D7DAB32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43B143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C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F428EF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Independent NGO (like GRI)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D3519C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Maximum legitimacy, free access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EEA00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Requires grant funding</w:t>
            </w:r>
          </w:p>
        </w:tc>
      </w:tr>
      <w:tr w:rsidR="001445D0" w14:paraId="622FC49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1D6CAA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D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DE84E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ISO submission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9CA4C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Maximum authority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691AA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Slowest path, loss of control</w:t>
            </w:r>
          </w:p>
        </w:tc>
      </w:tr>
      <w:tr w:rsidR="001445D0" w14:paraId="3278CE8F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95CBD7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E</w:t>
            </w:r>
          </w:p>
        </w:tc>
        <w:tc>
          <w:tcPr>
            <w:tcW w:w="2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B9E207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Private ownership (like PeopleCert/ITIL)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21081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Maximum revenue, fast decisions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4093F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Legitimacy concerns</w:t>
            </w:r>
          </w:p>
        </w:tc>
      </w:tr>
    </w:tbl>
    <w:p w14:paraId="5F991266" w14:textId="77777777" w:rsidR="001445D0" w:rsidRDefault="001445D0">
      <w:pPr>
        <w:spacing w:before="200"/>
      </w:pPr>
    </w:p>
    <w:p w14:paraId="0E63B3B7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Recommendation</w:t>
      </w:r>
    </w:p>
    <w:p w14:paraId="21F23319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Phase 1: </w:t>
      </w:r>
      <w:r>
        <w:rPr>
          <w:color w:val="333333"/>
        </w:rPr>
        <w:t xml:space="preserve">Expert-authored standard (Amine as architect) with advisory board. </w:t>
      </w:r>
      <w:r>
        <w:rPr>
          <w:b/>
          <w:bCs/>
          <w:color w:val="0B1D3A"/>
        </w:rPr>
        <w:t xml:space="preserve">Phase 2-3: </w:t>
      </w:r>
      <w:r>
        <w:rPr>
          <w:color w:val="333333"/>
        </w:rPr>
        <w:t xml:space="preserve">Transition to Option A (professional association) as community grows. </w:t>
      </w:r>
      <w:r>
        <w:rPr>
          <w:b/>
          <w:bCs/>
          <w:color w:val="0B1D3A"/>
        </w:rPr>
        <w:t xml:space="preserve">Phase 4: </w:t>
      </w:r>
      <w:r>
        <w:rPr>
          <w:color w:val="333333"/>
        </w:rPr>
        <w:t>ISO submission as consolidation aspiration. The ICESCO advantage can accelerate each stage.</w:t>
      </w:r>
    </w:p>
    <w:p w14:paraId="639F01B9" w14:textId="77777777" w:rsidR="001445D0" w:rsidRDefault="00000000">
      <w:r>
        <w:br w:type="page"/>
      </w:r>
    </w:p>
    <w:p w14:paraId="66120686" w14:textId="77777777" w:rsidR="001445D0" w:rsidRDefault="00000000">
      <w:pPr>
        <w:pStyle w:val="Heading1"/>
      </w:pPr>
      <w:r>
        <w:lastRenderedPageBreak/>
        <w:t>7. Certification Ecosystem</w:t>
      </w:r>
    </w:p>
    <w:p w14:paraId="5C91273B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479AF97F" w14:textId="77777777" w:rsidR="001445D0" w:rsidRDefault="00000000">
      <w:pPr>
        <w:spacing w:after="120"/>
        <w:jc w:val="both"/>
      </w:pPr>
      <w:r>
        <w:rPr>
          <w:color w:val="333333"/>
        </w:rPr>
        <w:t>Certification is the self-sustaining growth engine. Every certified professional becomes an evangelist. When certification becomes a hiring requirement, the standard becomes irreversible (ITIL/PMP lesson).</w:t>
      </w:r>
    </w:p>
    <w:p w14:paraId="1F6248AB" w14:textId="77777777" w:rsidR="001445D0" w:rsidRDefault="00000000">
      <w:pPr>
        <w:pStyle w:val="Heading2"/>
      </w:pPr>
      <w:r>
        <w:t>7.1 Individual Certification — 4 Levels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2520"/>
        <w:gridCol w:w="2520"/>
      </w:tblGrid>
      <w:tr w:rsidR="001445D0" w14:paraId="36E6275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8A7F32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Level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3E680D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Prerequisites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2A67C1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Curriculum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DB3753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Assessment</w:t>
            </w:r>
          </w:p>
        </w:tc>
      </w:tr>
      <w:tr w:rsidR="001445D0" w14:paraId="2FA8DD47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7F4929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Foundation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26719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None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E0F44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14 layers, 6 laws, key models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07ADF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Multiple-choice exam</w:t>
            </w:r>
          </w:p>
        </w:tc>
      </w:tr>
      <w:tr w:rsidR="001445D0" w14:paraId="10A1AF6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3DC7C1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Practitioner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25249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Foundation + 1yr exp.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F9508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Application in context, methodology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923FA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Case study + practical</w:t>
            </w:r>
          </w:p>
        </w:tc>
      </w:tr>
      <w:tr w:rsidR="001445D0" w14:paraId="7F9F29D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D20CC8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Assessor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4127C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Practitioner + 3yr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9EDB7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Maturity audit, institutional assessment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55976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Complex scenario + portfolio</w:t>
            </w:r>
          </w:p>
        </w:tc>
      </w:tr>
      <w:tr w:rsidR="001445D0" w14:paraId="5A0EB0B1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14A62D" w14:textId="77777777" w:rsidR="001445D0" w:rsidRDefault="00000000">
            <w:pPr>
              <w:spacing w:after="40"/>
            </w:pPr>
            <w:r>
              <w:rPr>
                <w:b/>
                <w:bCs/>
                <w:color w:val="C9A84C"/>
                <w:sz w:val="20"/>
                <w:szCs w:val="20"/>
              </w:rPr>
              <w:t>Master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37BF1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Assessor + 5yr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AA149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At-scale implementation, standard contribution</w:t>
            </w:r>
          </w:p>
        </w:tc>
        <w:tc>
          <w:tcPr>
            <w:tcW w:w="252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E5CDA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Publication + peer review</w:t>
            </w:r>
          </w:p>
        </w:tc>
      </w:tr>
    </w:tbl>
    <w:p w14:paraId="009D6546" w14:textId="77777777" w:rsidR="001445D0" w:rsidRDefault="001445D0">
      <w:pPr>
        <w:spacing w:before="100"/>
      </w:pPr>
    </w:p>
    <w:p w14:paraId="3142E248" w14:textId="77777777" w:rsidR="001445D0" w:rsidRDefault="00000000">
      <w:pPr>
        <w:pStyle w:val="Heading2"/>
      </w:pPr>
      <w:r>
        <w:t>7.2 Institutional Certification (Maturity Levels 2-5)</w:t>
      </w:r>
    </w:p>
    <w:p w14:paraId="6DEFB24E" w14:textId="77777777" w:rsidR="001445D0" w:rsidRDefault="00000000">
      <w:pPr>
        <w:spacing w:after="120"/>
        <w:jc w:val="both"/>
      </w:pPr>
      <w:r>
        <w:rPr>
          <w:color w:val="333333"/>
        </w:rPr>
        <w:t>Institutions can be certified at Structured, Integrated, Adaptive, and Autonomous levels — demonstrating governance quality to stakeholders, regulators, and partners. Model: CMMI ($50-200K per appraisal).</w:t>
      </w:r>
    </w:p>
    <w:p w14:paraId="1F9850FD" w14:textId="77777777" w:rsidR="001445D0" w:rsidRDefault="00000000">
      <w:pPr>
        <w:pStyle w:val="Heading2"/>
      </w:pPr>
      <w:r>
        <w:t>7.3 Training Partner Network</w:t>
      </w:r>
    </w:p>
    <w:p w14:paraId="3167B255" w14:textId="77777777" w:rsidR="001445D0" w:rsidRDefault="00000000">
      <w:pPr>
        <w:spacing w:after="120"/>
        <w:jc w:val="both"/>
      </w:pPr>
      <w:r>
        <w:rPr>
          <w:color w:val="333333"/>
        </w:rPr>
        <w:t>Authorized Training Partners (ATPs) deliver certification-aligned courses. Model: ITIL (PeopleCert accredits organizations, which train individuals, who certify institutions).</w:t>
      </w:r>
    </w:p>
    <w:p w14:paraId="72313819" w14:textId="77777777" w:rsidR="001445D0" w:rsidRDefault="00000000">
      <w:r>
        <w:br w:type="page"/>
      </w:r>
    </w:p>
    <w:p w14:paraId="65421363" w14:textId="77777777" w:rsidR="001445D0" w:rsidRDefault="00000000">
      <w:pPr>
        <w:pStyle w:val="Heading1"/>
      </w:pPr>
      <w:r>
        <w:lastRenderedPageBreak/>
        <w:t>8. Revenue Model &amp; Economic Strategy</w:t>
      </w:r>
    </w:p>
    <w:p w14:paraId="32EEA3FE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081617C0" w14:textId="77777777" w:rsidR="001445D0" w:rsidRDefault="00000000">
      <w:pPr>
        <w:spacing w:after="120"/>
        <w:jc w:val="both"/>
      </w:pPr>
      <w:r>
        <w:rPr>
          <w:color w:val="333333"/>
        </w:rPr>
        <w:t>The recommended hybrid model draws on best practices identified in the benchmark: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560"/>
        <w:gridCol w:w="2300"/>
        <w:gridCol w:w="2300"/>
      </w:tblGrid>
      <w:tr w:rsidR="001445D0" w14:paraId="1EF41D6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99D75F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Revenue Stream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E8414F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Phase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1E5FD2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Model Reference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4ED953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Potential</w:t>
            </w:r>
          </w:p>
        </w:tc>
      </w:tr>
      <w:tr w:rsidR="001445D0" w14:paraId="6A5FB11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196AA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Content &amp; consulting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1DB89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1-2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3FB24D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Thought leadership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A8235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Low (investment)</w:t>
            </w:r>
          </w:p>
        </w:tc>
      </w:tr>
      <w:tr w:rsidR="001445D0" w14:paraId="780F37C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1AABC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Self-assessment tools (freemium)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3DEADB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2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67B87C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GRI (free standard)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E1D609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Moderate (upsell)</w:t>
            </w:r>
          </w:p>
        </w:tc>
      </w:tr>
      <w:tr w:rsidR="001445D0" w14:paraId="4F376AD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DBACAC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Certification exam fees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7C4B8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3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6A5C6D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ITIL, PMP, TOGAF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68880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High (recurring)</w:t>
            </w:r>
          </w:p>
        </w:tc>
      </w:tr>
      <w:tr w:rsidR="001445D0" w14:paraId="7186CE2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0B262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Training partner accreditation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C2A045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3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8B6091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ITIL, TOGAF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046AED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Moderate</w:t>
            </w:r>
          </w:p>
        </w:tc>
      </w:tr>
      <w:tr w:rsidR="001445D0" w14:paraId="256DE59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A08A8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Institutional maturity appraisals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EE884D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3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EFBB1B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CMMI ($50-200K/audit)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E9B91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Very high</w:t>
            </w:r>
          </w:p>
        </w:tc>
      </w:tr>
      <w:tr w:rsidR="001445D0" w14:paraId="47DC539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0CD973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Publication (DCOS Guide)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FEC83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2+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41C6E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PMBOK, ITIL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DD38D3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Moderate</w:t>
            </w:r>
          </w:p>
        </w:tc>
      </w:tr>
      <w:tr w:rsidR="001445D0" w14:paraId="472A9FA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A7E8F1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Membership / community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43F551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3+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26F25B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PMI, ISACA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2C3CF1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High (at scale)</w:t>
            </w:r>
          </w:p>
        </w:tc>
      </w:tr>
      <w:tr w:rsidR="001445D0" w14:paraId="72DD9E3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3B82B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Standard licensing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117C8C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Phase 4+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E3BBD6" w14:textId="77777777" w:rsidR="001445D0" w:rsidRDefault="00000000">
            <w:pPr>
              <w:spacing w:after="40"/>
            </w:pPr>
            <w:r>
              <w:rPr>
                <w:color w:val="666666"/>
                <w:sz w:val="18"/>
                <w:szCs w:val="18"/>
              </w:rPr>
              <w:t>ISO, TOGAF</w:t>
            </w:r>
          </w:p>
        </w:tc>
        <w:tc>
          <w:tcPr>
            <w:tcW w:w="23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A9C45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Long-term</w:t>
            </w:r>
          </w:p>
        </w:tc>
      </w:tr>
    </w:tbl>
    <w:p w14:paraId="3B0B5356" w14:textId="77777777" w:rsidR="001445D0" w:rsidRDefault="001445D0">
      <w:pPr>
        <w:spacing w:before="100"/>
      </w:pPr>
    </w:p>
    <w:p w14:paraId="3C88DC4A" w14:textId="77777777" w:rsidR="001445D0" w:rsidRDefault="00000000">
      <w:pPr>
        <w:spacing w:after="120"/>
        <w:jc w:val="both"/>
      </w:pPr>
      <w:r>
        <w:rPr>
          <w:b/>
          <w:bCs/>
          <w:color w:val="0B1D3A"/>
        </w:rPr>
        <w:t xml:space="preserve">Guiding principle: </w:t>
      </w:r>
      <w:r>
        <w:rPr>
          <w:color w:val="333333"/>
        </w:rPr>
        <w:t>The standard is free. The ecosystem is the revenue source. This is the model that generated $16 billion for the ISO ecosystem and £380 million for ITIL.</w:t>
      </w:r>
    </w:p>
    <w:p w14:paraId="6977D8C0" w14:textId="77777777" w:rsidR="001445D0" w:rsidRDefault="00000000">
      <w:r>
        <w:br w:type="page"/>
      </w:r>
    </w:p>
    <w:p w14:paraId="35C31DBC" w14:textId="77777777" w:rsidR="001445D0" w:rsidRDefault="00000000">
      <w:pPr>
        <w:pStyle w:val="Heading1"/>
      </w:pPr>
      <w:r>
        <w:lastRenderedPageBreak/>
        <w:t>9. Dashboard Methodology &amp; KPIs</w:t>
      </w:r>
    </w:p>
    <w:p w14:paraId="195882ED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73A37877" w14:textId="77777777" w:rsidR="001445D0" w:rsidRDefault="00000000">
      <w:pPr>
        <w:spacing w:after="120"/>
        <w:jc w:val="both"/>
      </w:pPr>
      <w:r>
        <w:rPr>
          <w:color w:val="333333"/>
        </w:rPr>
        <w:t>The DCOS Executive Dashboard translates decision governance into actionable indicators. This section details the inputs, calculation methods, and data sources.</w:t>
      </w:r>
    </w:p>
    <w:p w14:paraId="61515A2D" w14:textId="77777777" w:rsidR="001445D0" w:rsidRDefault="00000000">
      <w:pPr>
        <w:pStyle w:val="Heading2"/>
      </w:pPr>
      <w:r>
        <w:t>9.1 Dashboard Architecture</w:t>
      </w:r>
    </w:p>
    <w:p w14:paraId="08FD4E3D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Strategic level: </w:t>
      </w:r>
      <w:r>
        <w:rPr>
          <w:color w:val="333333"/>
        </w:rPr>
        <w:t>System health score, maturity level, top risks, impact trends.</w:t>
      </w:r>
    </w:p>
    <w:p w14:paraId="78AF1E1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Layer level: </w:t>
      </w:r>
      <w:r>
        <w:rPr>
          <w:color w:val="333333"/>
        </w:rPr>
        <w:t>Per-layer performance, compliance rate, drift detection.</w:t>
      </w:r>
    </w:p>
    <w:p w14:paraId="712392A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Decision level: </w:t>
      </w:r>
      <w:r>
        <w:rPr>
          <w:color w:val="333333"/>
        </w:rPr>
        <w:t>Individual tracking, status monitoring, impact attribution.</w:t>
      </w:r>
    </w:p>
    <w:p w14:paraId="7CBE198F" w14:textId="77777777" w:rsidR="001445D0" w:rsidRDefault="00000000">
      <w:pPr>
        <w:pStyle w:val="Heading2"/>
      </w:pPr>
      <w:r>
        <w:t>9.2 6 Core KPIs with Calculation Methods</w:t>
      </w:r>
    </w:p>
    <w:p w14:paraId="23E77DC2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1: Decision Quality Index (DQI)</w:t>
      </w:r>
    </w:p>
    <w:p w14:paraId="02D04A3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Formula: </w:t>
      </w:r>
      <w:r>
        <w:rPr>
          <w:color w:val="333333"/>
        </w:rPr>
        <w:t>DQI = Σ(Layer_Scoreᵢ × Weightᵢ) / Σ(Weightᵢ)</w:t>
      </w:r>
    </w:p>
    <w:p w14:paraId="0BBC693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Inputs: </w:t>
      </w:r>
      <w:r>
        <w:rPr>
          <w:color w:val="333333"/>
        </w:rPr>
        <w:t>Per-layer score (0-100) from layer-specific metrics.</w:t>
      </w:r>
    </w:p>
    <w:p w14:paraId="561E1EA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Data sources: </w:t>
      </w:r>
      <w:r>
        <w:rPr>
          <w:color w:val="333333"/>
        </w:rPr>
        <w:t>Internal audits, decision logs, stakeholder surveys, project management data.</w:t>
      </w:r>
    </w:p>
    <w:p w14:paraId="5C8AE72A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Frequency: </w:t>
      </w:r>
      <w:r>
        <w:rPr>
          <w:color w:val="333333"/>
        </w:rPr>
        <w:t>Weekly (auto-calculated), monthly review.</w:t>
      </w:r>
    </w:p>
    <w:p w14:paraId="57D32680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2: Control Retention Rate (CRR)</w:t>
      </w:r>
    </w:p>
    <w:p w14:paraId="5A78DA16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Formula: </w:t>
      </w:r>
      <w:r>
        <w:rPr>
          <w:color w:val="333333"/>
        </w:rPr>
        <w:t>CRR = (Decisions under full control / Total active decisions) × 100</w:t>
      </w:r>
    </w:p>
    <w:p w14:paraId="695352C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Sources: </w:t>
      </w:r>
      <w:r>
        <w:rPr>
          <w:color w:val="333333"/>
        </w:rPr>
        <w:t>Layer 6 monitoring logs, degradation alerts (authority dilution, context drift, attention decay).</w:t>
      </w:r>
    </w:p>
    <w:p w14:paraId="3C9CC0B7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3: Synchronization Index (SI)</w:t>
      </w:r>
    </w:p>
    <w:p w14:paraId="649A0D70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Formula: </w:t>
      </w:r>
      <w:r>
        <w:rPr>
          <w:color w:val="333333"/>
        </w:rPr>
        <w:t>SI = 1 – (Desynchronizations detected / Total synchronization points)</w:t>
      </w:r>
    </w:p>
    <w:p w14:paraId="05025D2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Sources: </w:t>
      </w:r>
      <w:r>
        <w:rPr>
          <w:color w:val="333333"/>
        </w:rPr>
        <w:t>Project management data, dependency tracking, coordination logs.</w:t>
      </w:r>
    </w:p>
    <w:p w14:paraId="46BD58DF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4: Economic Value (DIEM)</w:t>
      </w:r>
    </w:p>
    <w:p w14:paraId="69072E76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Formula: </w:t>
      </w:r>
      <w:r>
        <w:rPr>
          <w:color w:val="333333"/>
        </w:rPr>
        <w:t>Economic Value = Impact Value – Control Loss + Synchronization Gain</w:t>
      </w:r>
    </w:p>
    <w:p w14:paraId="538E61B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Sources: </w:t>
      </w:r>
      <w:r>
        <w:rPr>
          <w:color w:val="333333"/>
        </w:rPr>
        <w:t>IQP calculations, failure costs, documented coordination gains.</w:t>
      </w:r>
    </w:p>
    <w:p w14:paraId="1846DB09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5: Impact Integrity Score (IIS)</w:t>
      </w:r>
    </w:p>
    <w:p w14:paraId="714D94ED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Components: </w:t>
      </w:r>
      <w:r>
        <w:rPr>
          <w:color w:val="333333"/>
        </w:rPr>
        <w:t>Baseline definition (20%), counterfactual modeling (25%), attribution confidence (25%), audit completeness (15%), measurement readiness (15%).</w:t>
      </w:r>
    </w:p>
    <w:p w14:paraId="48572BD4" w14:textId="77777777" w:rsidR="001445D0" w:rsidRDefault="00000000">
      <w:pPr>
        <w:spacing w:before="200" w:after="100"/>
      </w:pPr>
      <w:r>
        <w:rPr>
          <w:rFonts w:ascii="Georgia" w:eastAsia="Georgia" w:hAnsi="Georgia" w:cs="Georgia"/>
          <w:b/>
          <w:bCs/>
          <w:color w:val="0D9488"/>
          <w:sz w:val="24"/>
          <w:szCs w:val="24"/>
        </w:rPr>
        <w:t>KPI 6: Resilience Index (RI)</w:t>
      </w:r>
    </w:p>
    <w:p w14:paraId="533934DD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Formula: </w:t>
      </w:r>
      <w:r>
        <w:rPr>
          <w:color w:val="333333"/>
        </w:rPr>
        <w:t>RI = (w1 × SAC + w2 × ARR + w3 × 1/RTC) / (w1 + w2 + w3)</w:t>
      </w:r>
    </w:p>
    <w:p w14:paraId="54ADDBC0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SAC: </w:t>
      </w:r>
      <w:r>
        <w:rPr>
          <w:color w:val="333333"/>
        </w:rPr>
        <w:t>Shock Absorption Capacity — measured via stress tests and incident history.</w:t>
      </w:r>
    </w:p>
    <w:p w14:paraId="2CD429F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ARR: </w:t>
      </w:r>
      <w:r>
        <w:rPr>
          <w:color w:val="333333"/>
        </w:rPr>
        <w:t>Adaptive Recovery Rate — speed and quality of return to normal.</w:t>
      </w:r>
    </w:p>
    <w:p w14:paraId="6259F08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RTC: </w:t>
      </w:r>
      <w:r>
        <w:rPr>
          <w:color w:val="333333"/>
        </w:rPr>
        <w:t>Recovery Time to Control — time to restore full governance.</w:t>
      </w:r>
    </w:p>
    <w:p w14:paraId="2F6DF736" w14:textId="77777777" w:rsidR="001445D0" w:rsidRDefault="00000000">
      <w:pPr>
        <w:pStyle w:val="Heading2"/>
      </w:pPr>
      <w:r>
        <w:lastRenderedPageBreak/>
        <w:t>9.3 Update Frequency</w:t>
      </w:r>
    </w:p>
    <w:p w14:paraId="28B1AFF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Real-time: </w:t>
      </w:r>
      <w:r>
        <w:rPr>
          <w:color w:val="333333"/>
        </w:rPr>
        <w:t>Decision status, control alerts, critical incidents.</w:t>
      </w:r>
    </w:p>
    <w:p w14:paraId="43B8F01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Daily: </w:t>
      </w:r>
      <w:r>
        <w:rPr>
          <w:color w:val="333333"/>
        </w:rPr>
        <w:t>Per-layer performance scores, synchronization metrics.</w:t>
      </w:r>
    </w:p>
    <w:p w14:paraId="28DFC69A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Weekly: </w:t>
      </w:r>
      <w:r>
        <w:rPr>
          <w:color w:val="333333"/>
        </w:rPr>
        <w:t>System health score, trend analysis.</w:t>
      </w:r>
    </w:p>
    <w:p w14:paraId="2BD2BB6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Monthly: </w:t>
      </w:r>
      <w:r>
        <w:rPr>
          <w:color w:val="333333"/>
        </w:rPr>
        <w:t>IQP calculations, DIEM economic analysis, maturity assessment.</w:t>
      </w:r>
    </w:p>
    <w:p w14:paraId="4E6CB78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Quarterly: </w:t>
      </w:r>
      <w:r>
        <w:rPr>
          <w:color w:val="333333"/>
        </w:rPr>
        <w:t>Full governance review, resilience testing, strategic alignment check.</w:t>
      </w:r>
    </w:p>
    <w:p w14:paraId="3BCAD1ED" w14:textId="414D16A4" w:rsidR="001445D0" w:rsidRDefault="001445D0"/>
    <w:p w14:paraId="6EE436EE" w14:textId="77777777" w:rsidR="001445D0" w:rsidRDefault="00000000">
      <w:pPr>
        <w:pStyle w:val="Heading1"/>
      </w:pPr>
      <w:r>
        <w:t>10. Communication &amp; Visibility Strategy</w:t>
      </w:r>
    </w:p>
    <w:p w14:paraId="441C2D64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08062295" w14:textId="77777777" w:rsidR="001445D0" w:rsidRDefault="00000000">
      <w:pPr>
        <w:spacing w:after="120"/>
        <w:jc w:val="both"/>
      </w:pPr>
      <w:r>
        <w:rPr>
          <w:color w:val="333333"/>
        </w:rPr>
        <w:t>The communication strategy follows a “credibility-first” model: educate and provoke before seeking adoption. Never sell — demonstrate.</w:t>
      </w:r>
    </w:p>
    <w:p w14:paraId="6E696C04" w14:textId="77777777" w:rsidR="001445D0" w:rsidRDefault="00000000">
      <w:pPr>
        <w:pStyle w:val="Heading2"/>
      </w:pPr>
      <w:r>
        <w:t>10.1 Positioning</w:t>
      </w:r>
    </w:p>
    <w:p w14:paraId="5D61D701" w14:textId="77777777" w:rsidR="001445D0" w:rsidRDefault="00000000">
      <w:pPr>
        <w:spacing w:after="200"/>
        <w:jc w:val="center"/>
      </w:pPr>
      <w:r>
        <w:rPr>
          <w:b/>
          <w:bCs/>
          <w:i/>
          <w:iCs/>
          <w:color w:val="0B1D3A"/>
          <w:sz w:val="24"/>
          <w:szCs w:val="24"/>
        </w:rPr>
        <w:t>“DCOS: the missing standard for institutional decision governance.”</w:t>
      </w:r>
    </w:p>
    <w:p w14:paraId="0D821D74" w14:textId="77777777" w:rsidR="001445D0" w:rsidRDefault="00000000">
      <w:pPr>
        <w:pStyle w:val="Heading2"/>
      </w:pPr>
      <w:r>
        <w:t>10.2 5 Strategic Channels</w:t>
      </w:r>
    </w:p>
    <w:p w14:paraId="53B0A7A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LinkedIn (priority): </w:t>
      </w:r>
      <w:r>
        <w:rPr>
          <w:color w:val="333333"/>
        </w:rPr>
        <w:t>5 content pillars (Decision Governance, System Architecture, Impact Science, AI &amp; Institutions, Resilience Engineering). Managed via the Agents Command Center for systematic production.</w:t>
      </w:r>
    </w:p>
    <w:p w14:paraId="3B1DB56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Academic publications: </w:t>
      </w:r>
      <w:r>
        <w:rPr>
          <w:color w:val="333333"/>
        </w:rPr>
        <w:t>Papers submitted to governance and management journals. This is what gave CMMI its credibility.</w:t>
      </w:r>
    </w:p>
    <w:p w14:paraId="7DC5C9B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Conferences: </w:t>
      </w:r>
      <w:r>
        <w:rPr>
          <w:color w:val="333333"/>
        </w:rPr>
        <w:t>Keynotes and panels on governance, management, and technology.</w:t>
      </w:r>
    </w:p>
    <w:p w14:paraId="27D7AD3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Strategic partnerships: </w:t>
      </w:r>
      <w:r>
        <w:rPr>
          <w:color w:val="333333"/>
        </w:rPr>
        <w:t>Governance bodies, consulting firms, academic institutions.</w:t>
      </w:r>
    </w:p>
    <w:p w14:paraId="181D2B6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Annual report: </w:t>
      </w:r>
      <w:r>
        <w:rPr>
          <w:color w:val="333333"/>
        </w:rPr>
        <w:t>“Annual Decision Governance Report” — global benchmarking by sector and region (flagship publication).</w:t>
      </w:r>
    </w:p>
    <w:p w14:paraId="321754D4" w14:textId="77777777" w:rsidR="001445D0" w:rsidRDefault="00000000">
      <w:r>
        <w:br w:type="page"/>
      </w:r>
    </w:p>
    <w:p w14:paraId="441E2241" w14:textId="77777777" w:rsidR="001445D0" w:rsidRDefault="00000000">
      <w:pPr>
        <w:pStyle w:val="Heading1"/>
      </w:pPr>
      <w:r>
        <w:lastRenderedPageBreak/>
        <w:t>11. 30-60-90 Day Activation Plan</w:t>
      </w:r>
    </w:p>
    <w:p w14:paraId="5314FE44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676B4AB2" w14:textId="77777777" w:rsidR="001445D0" w:rsidRDefault="00000000">
      <w:pPr>
        <w:pStyle w:val="Heading2"/>
      </w:pPr>
      <w:r>
        <w:t>Days 1-30: Establish Presence</w:t>
      </w:r>
    </w:p>
    <w:p w14:paraId="1A1D804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Launch DCOS web portal publicly with complete system documentation</w:t>
      </w:r>
    </w:p>
    <w:p w14:paraId="78CE2589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Publish first 5 LinkedIn posts (one per content pillar)</w:t>
      </w:r>
    </w:p>
    <w:p w14:paraId="1782F681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Finalize the formal v6.0 specification</w:t>
      </w:r>
    </w:p>
    <w:p w14:paraId="16375E66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Deliver strategic plan to leadership (this document)</w:t>
      </w:r>
    </w:p>
    <w:p w14:paraId="652D36F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Put the Agents Command Center into production for systematic content creation</w:t>
      </w:r>
    </w:p>
    <w:p w14:paraId="12A349C6" w14:textId="77777777" w:rsidR="001445D0" w:rsidRDefault="00000000">
      <w:pPr>
        <w:pStyle w:val="Heading2"/>
      </w:pPr>
      <w:r>
        <w:t>Days 31-60: Build Credibility</w:t>
      </w:r>
    </w:p>
    <w:p w14:paraId="1D51FDC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Publish first long-form article on the “decision governance gap”</w:t>
      </w:r>
    </w:p>
    <w:p w14:paraId="6D82AF9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Open Executive Dashboard demo for stakeholder testing</w:t>
      </w:r>
    </w:p>
    <w:p w14:paraId="4997E377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Begin academic peer review process for IQP and DIEM</w:t>
      </w:r>
    </w:p>
    <w:p w14:paraId="62FE265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Create first sector-specific use case (healthcare or government)</w:t>
      </w:r>
    </w:p>
    <w:p w14:paraId="4B12D1B1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Engage first 3 domain experts for feedback and endorsement</w:t>
      </w:r>
    </w:p>
    <w:p w14:paraId="2C036292" w14:textId="77777777" w:rsidR="001445D0" w:rsidRDefault="00000000">
      <w:pPr>
        <w:pStyle w:val="Heading2"/>
      </w:pPr>
      <w:r>
        <w:t>Days 61-90: Generate Demand</w:t>
      </w:r>
    </w:p>
    <w:p w14:paraId="18E94AC4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Publish first carousel series (14 layers, 6 laws visual breakdown)</w:t>
      </w:r>
    </w:p>
    <w:p w14:paraId="48E5FED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Host first webinar or presentation on DCOS methodology</w:t>
      </w:r>
    </w:p>
    <w:p w14:paraId="3A6F774C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Complete self-assessment tool prototype</w:t>
      </w:r>
    </w:p>
    <w:p w14:paraId="6140609F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Identify and approach first pilot institution</w:t>
      </w:r>
    </w:p>
    <w:p w14:paraId="7DC78E92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color w:val="333333"/>
        </w:rPr>
        <w:t>Release Practitioner Toolkit v0.1 for early adopters</w:t>
      </w:r>
    </w:p>
    <w:p w14:paraId="6BB57CEF" w14:textId="77777777" w:rsidR="001445D0" w:rsidRDefault="00000000">
      <w:r>
        <w:br w:type="page"/>
      </w:r>
    </w:p>
    <w:p w14:paraId="2C86CD71" w14:textId="77777777" w:rsidR="001445D0" w:rsidRDefault="00000000">
      <w:pPr>
        <w:pStyle w:val="Heading1"/>
      </w:pPr>
      <w:r>
        <w:lastRenderedPageBreak/>
        <w:t>12. Risk Matrix &amp; Mitigation</w:t>
      </w:r>
    </w:p>
    <w:p w14:paraId="4A844230" w14:textId="77777777" w:rsidR="001445D0" w:rsidRDefault="001445D0">
      <w:pPr>
        <w:pBdr>
          <w:bottom w:val="single" w:sz="3" w:space="8" w:color="C9A84C"/>
        </w:pBdr>
        <w:spacing w:before="20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00"/>
        <w:gridCol w:w="1560"/>
        <w:gridCol w:w="3600"/>
      </w:tblGrid>
      <w:tr w:rsidR="001445D0" w14:paraId="48C170B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EC18FB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874474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Risk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59E5DE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Severity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D43350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Mitigation</w:t>
            </w:r>
          </w:p>
        </w:tc>
      </w:tr>
      <w:tr w:rsidR="001445D0" w14:paraId="2F9B216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0DB821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Adoption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5DA4CD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Institutions resist governance transformation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DEA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882C02" w14:textId="77777777" w:rsidR="001445D0" w:rsidRDefault="00000000">
            <w:pPr>
              <w:spacing w:after="40"/>
            </w:pPr>
            <w:r>
              <w:rPr>
                <w:b/>
                <w:bCs/>
                <w:color w:val="C0392B"/>
                <w:sz w:val="18"/>
                <w:szCs w:val="18"/>
              </w:rPr>
              <w:t>High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0D12E8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Start with self-assessment (low commitment); demonstrate quick wins; behavioral alignment strategy (Layer 5)</w:t>
            </w:r>
          </w:p>
        </w:tc>
      </w:tr>
      <w:tr w:rsidR="001445D0" w14:paraId="7FDBC203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5C4A92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Credibility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A5B60F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No pilot data to support claims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DEA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460A08" w14:textId="77777777" w:rsidR="001445D0" w:rsidRDefault="00000000">
            <w:pPr>
              <w:spacing w:after="40"/>
            </w:pPr>
            <w:r>
              <w:rPr>
                <w:b/>
                <w:bCs/>
                <w:color w:val="C0392B"/>
                <w:sz w:val="18"/>
                <w:szCs w:val="18"/>
              </w:rPr>
              <w:t>High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FBB1AC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Prioritize first pilot; measure with own methodology; third-party validation</w:t>
            </w:r>
          </w:p>
        </w:tc>
      </w:tr>
      <w:tr w:rsidR="001445D0" w14:paraId="28C68EE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AEE593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Resource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AA153D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Solo operator = limited speed and credibility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DEA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FDA106" w14:textId="77777777" w:rsidR="001445D0" w:rsidRDefault="00000000">
            <w:pPr>
              <w:spacing w:after="40"/>
            </w:pPr>
            <w:r>
              <w:rPr>
                <w:b/>
                <w:bCs/>
                <w:color w:val="C0392B"/>
                <w:sz w:val="18"/>
                <w:szCs w:val="18"/>
              </w:rPr>
              <w:t>High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17312F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Strategic partnerships; academic collaborators; AI-augmented productivity</w:t>
            </w:r>
          </w:p>
        </w:tc>
      </w:tr>
      <w:tr w:rsidR="001445D0" w14:paraId="4C767554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65CC13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Technical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52D4A9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Specification complexity prevents adoption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DEAE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B5367A" w14:textId="77777777" w:rsidR="001445D0" w:rsidRDefault="00000000">
            <w:pPr>
              <w:spacing w:after="40"/>
            </w:pPr>
            <w:r>
              <w:rPr>
                <w:b/>
                <w:bCs/>
                <w:color w:val="C0392B"/>
                <w:sz w:val="18"/>
                <w:szCs w:val="18"/>
              </w:rPr>
              <w:t>High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F7D36A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Phased layer-by-layer implementation; simplified toolkit; multiple entry points by level</w:t>
            </w:r>
          </w:p>
        </w:tc>
      </w:tr>
      <w:tr w:rsidR="001445D0" w14:paraId="058E6DD7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7FFFF6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Competitive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8B888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Existing frameworks claim decision governance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3C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00E513" w14:textId="77777777" w:rsidR="001445D0" w:rsidRDefault="00000000">
            <w:pPr>
              <w:spacing w:after="40"/>
            </w:pPr>
            <w:r>
              <w:rPr>
                <w:b/>
                <w:bCs/>
                <w:color w:val="856404"/>
                <w:sz w:val="18"/>
                <w:szCs w:val="18"/>
              </w:rPr>
              <w:t>Medium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6101C9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Clear differentiation: DCOS integrates all 14 layers, no competitor does</w:t>
            </w:r>
          </w:p>
        </w:tc>
      </w:tr>
      <w:tr w:rsidR="001445D0" w14:paraId="408AA3BD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188136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Competitive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21BF9E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Large consultancy creates competing standard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D4EDD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C109C8" w14:textId="77777777" w:rsidR="001445D0" w:rsidRDefault="00000000">
            <w:pPr>
              <w:spacing w:after="40"/>
            </w:pPr>
            <w:r>
              <w:rPr>
                <w:b/>
                <w:bCs/>
                <w:color w:val="155724"/>
                <w:sz w:val="18"/>
                <w:szCs w:val="18"/>
              </w:rPr>
              <w:t>Low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A12164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Speed advantage; academic rigor; open community model</w:t>
            </w:r>
          </w:p>
        </w:tc>
      </w:tr>
      <w:tr w:rsidR="001445D0" w14:paraId="76EF8722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B85C2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18"/>
                <w:szCs w:val="18"/>
              </w:rPr>
              <w:t>Regulatory</w:t>
            </w:r>
          </w:p>
        </w:tc>
        <w:tc>
          <w:tcPr>
            <w:tcW w:w="28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B44F50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ISO process is slow or political</w:t>
            </w:r>
          </w:p>
        </w:tc>
        <w:tc>
          <w:tcPr>
            <w:tcW w:w="156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3C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536F4D" w14:textId="77777777" w:rsidR="001445D0" w:rsidRDefault="00000000">
            <w:pPr>
              <w:spacing w:after="40"/>
            </w:pPr>
            <w:r>
              <w:rPr>
                <w:b/>
                <w:bCs/>
                <w:color w:val="856404"/>
                <w:sz w:val="18"/>
                <w:szCs w:val="18"/>
              </w:rPr>
              <w:t>Medium</w:t>
            </w:r>
          </w:p>
        </w:tc>
        <w:tc>
          <w:tcPr>
            <w:tcW w:w="36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E1C280" w14:textId="77777777" w:rsidR="001445D0" w:rsidRDefault="00000000">
            <w:pPr>
              <w:spacing w:after="40"/>
            </w:pPr>
            <w:r>
              <w:rPr>
                <w:color w:val="333333"/>
                <w:sz w:val="18"/>
                <w:szCs w:val="18"/>
              </w:rPr>
              <w:t>Build adoption independently; ISO is validation, not dependency</w:t>
            </w:r>
          </w:p>
        </w:tc>
      </w:tr>
    </w:tbl>
    <w:p w14:paraId="5E200D00" w14:textId="77777777" w:rsidR="001445D0" w:rsidRDefault="00000000">
      <w:r>
        <w:br w:type="page"/>
      </w:r>
    </w:p>
    <w:p w14:paraId="0E9F9730" w14:textId="77777777" w:rsidR="001445D0" w:rsidRDefault="00000000">
      <w:pPr>
        <w:pStyle w:val="Heading1"/>
      </w:pPr>
      <w:r>
        <w:lastRenderedPageBreak/>
        <w:t>13. 12-Month Success Metrics</w:t>
      </w:r>
    </w:p>
    <w:p w14:paraId="1B77CC47" w14:textId="77777777" w:rsidR="001445D0" w:rsidRDefault="001445D0">
      <w:pPr>
        <w:pBdr>
          <w:bottom w:val="single" w:sz="3" w:space="8" w:color="C9A84C"/>
        </w:pBdr>
        <w:spacing w:before="200"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4580"/>
        <w:gridCol w:w="2580"/>
      </w:tblGrid>
      <w:tr w:rsidR="001445D0" w14:paraId="6339F29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E49057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823D90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807CA1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Target</w:t>
            </w:r>
          </w:p>
        </w:tc>
      </w:tr>
      <w:tr w:rsidR="001445D0" w14:paraId="0082033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1D9833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Adoption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64BF96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Maturity assessments completed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1695E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10+</w:t>
            </w:r>
          </w:p>
        </w:tc>
      </w:tr>
      <w:tr w:rsidR="001445D0" w14:paraId="245CC69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2C461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Adoption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F47DD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Pilot implementations initiated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68C0305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1-2</w:t>
            </w:r>
          </w:p>
        </w:tc>
      </w:tr>
      <w:tr w:rsidR="001445D0" w14:paraId="5A2A9EF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3C28D0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Adoption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F67ABF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Sectors with active use cases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CFBA4B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3+</w:t>
            </w:r>
          </w:p>
        </w:tc>
      </w:tr>
      <w:tr w:rsidR="001445D0" w14:paraId="261EA0D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217420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Content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70B5E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LinkedIn thought leadership posts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FF6DA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50+</w:t>
            </w:r>
          </w:p>
        </w:tc>
      </w:tr>
      <w:tr w:rsidR="001445D0" w14:paraId="3B328A3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0D5E02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Content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DC168B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Long-form articles published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59A59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12+</w:t>
            </w:r>
          </w:p>
        </w:tc>
      </w:tr>
      <w:tr w:rsidR="001445D0" w14:paraId="46C9403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EC48B4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Content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ADDF2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Academic submissions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55E89A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2+</w:t>
            </w:r>
          </w:p>
        </w:tc>
      </w:tr>
      <w:tr w:rsidR="001445D0" w14:paraId="6E32071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B0BFB7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Authority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B7AB7E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Conference presentations / webinars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3ADCB5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4+</w:t>
            </w:r>
          </w:p>
        </w:tc>
      </w:tr>
      <w:tr w:rsidR="001445D0" w14:paraId="6A8F5FA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46B016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Authority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DDEE6C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External citations of DCOS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106214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10+</w:t>
            </w:r>
          </w:p>
        </w:tc>
      </w:tr>
      <w:tr w:rsidR="001445D0" w14:paraId="08CA970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545D1C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Authority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84C8CC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Expert endorsements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181AD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5+</w:t>
            </w:r>
          </w:p>
        </w:tc>
      </w:tr>
      <w:tr w:rsidR="001445D0" w14:paraId="0A36EC5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11AB9B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Digital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F14A0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Portal unique visitors (monthly)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B0C30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1,000+</w:t>
            </w:r>
          </w:p>
        </w:tc>
      </w:tr>
      <w:tr w:rsidR="001445D0" w14:paraId="4666D61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16792F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Digital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33F24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Dashboard demo sessions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E1EDA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50+</w:t>
            </w:r>
          </w:p>
        </w:tc>
      </w:tr>
      <w:tr w:rsidR="001445D0" w14:paraId="6ADB624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2F1F11" w14:textId="77777777" w:rsidR="001445D0" w:rsidRDefault="00000000">
            <w:pPr>
              <w:spacing w:after="40"/>
            </w:pPr>
            <w:r>
              <w:rPr>
                <w:b/>
                <w:bCs/>
                <w:color w:val="0D9488"/>
                <w:sz w:val="20"/>
                <w:szCs w:val="20"/>
              </w:rPr>
              <w:t>Community</w:t>
            </w:r>
          </w:p>
        </w:tc>
        <w:tc>
          <w:tcPr>
            <w:tcW w:w="4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C7C7A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Practitioners engaged</w:t>
            </w:r>
          </w:p>
        </w:tc>
        <w:tc>
          <w:tcPr>
            <w:tcW w:w="25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437B3B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50+</w:t>
            </w:r>
          </w:p>
        </w:tc>
      </w:tr>
    </w:tbl>
    <w:p w14:paraId="7D56CB9B" w14:textId="77777777" w:rsidR="001445D0" w:rsidRDefault="00000000">
      <w:r>
        <w:br w:type="page"/>
      </w:r>
    </w:p>
    <w:p w14:paraId="05CDFCF6" w14:textId="77777777" w:rsidR="001445D0" w:rsidRDefault="00000000">
      <w:pPr>
        <w:pStyle w:val="Heading1"/>
      </w:pPr>
      <w:r>
        <w:lastRenderedPageBreak/>
        <w:t>14. Resource Requirements</w:t>
      </w:r>
    </w:p>
    <w:p w14:paraId="4A6E2263" w14:textId="77777777" w:rsidR="001445D0" w:rsidRDefault="001445D0">
      <w:pPr>
        <w:pBdr>
          <w:bottom w:val="single" w:sz="3" w:space="8" w:color="C9A84C"/>
        </w:pBdr>
        <w:spacing w:before="200" w:after="200"/>
      </w:pPr>
    </w:p>
    <w:p w14:paraId="7E2A1291" w14:textId="77777777" w:rsidR="001445D0" w:rsidRDefault="00000000">
      <w:pPr>
        <w:pStyle w:val="Heading2"/>
      </w:pPr>
      <w:r>
        <w:t>14.1 Current Operating Model</w:t>
      </w:r>
    </w:p>
    <w:p w14:paraId="2F174661" w14:textId="77777777" w:rsidR="001445D0" w:rsidRDefault="00000000">
      <w:pPr>
        <w:spacing w:after="120"/>
        <w:jc w:val="both"/>
      </w:pPr>
      <w:r>
        <w:rPr>
          <w:color w:val="333333"/>
        </w:rPr>
        <w:t>DCOS is developed and operated by a single person (Amine Messaoudi) with AI-augmented productivity. The technology stack (Claude Max + MCP) enables one operator to produce content, code, research, and design at a pace equivalent to a team of 3-4 people.</w:t>
      </w:r>
    </w:p>
    <w:p w14:paraId="2AF3BAE6" w14:textId="77777777" w:rsidR="001445D0" w:rsidRDefault="00000000">
      <w:pPr>
        <w:pStyle w:val="Heading2"/>
      </w:pPr>
      <w:r>
        <w:t>14.2 Technology Stack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480"/>
        <w:gridCol w:w="3480"/>
      </w:tblGrid>
      <w:tr w:rsidR="001445D0" w14:paraId="2D0806C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55E437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Component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2109F0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Purpose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0B1D3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8734F9" w14:textId="77777777" w:rsidR="001445D0" w:rsidRDefault="00000000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</w:tr>
      <w:tr w:rsidR="001445D0" w14:paraId="1A546DD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7F9D837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Claude Opus 4.6 (Max)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E8857B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AI backbone — content, code, research, analysis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558ED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Active</w:t>
            </w:r>
          </w:p>
        </w:tc>
      </w:tr>
      <w:tr w:rsidR="001445D0" w14:paraId="344E1E7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06DEB9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Vercel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9B1E3A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Portal, dashboard, and tools hosting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E34155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Deployed</w:t>
            </w:r>
          </w:p>
        </w:tc>
      </w:tr>
      <w:tr w:rsidR="001445D0" w14:paraId="038CA32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F2903F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Supabase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948764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Database &amp; analytics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1B049D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Configured</w:t>
            </w:r>
          </w:p>
        </w:tc>
      </w:tr>
      <w:tr w:rsidR="001445D0" w14:paraId="0AC59C9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5ABCEB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Canva MCP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0E6959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Visual design &amp; brand assets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EC5D56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Active</w:t>
            </w:r>
          </w:p>
        </w:tc>
      </w:tr>
      <w:tr w:rsidR="001445D0" w14:paraId="6E259B8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13FE80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Agents Command Center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176B9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Content production management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4F2ED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863ED7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Operational</w:t>
            </w:r>
          </w:p>
        </w:tc>
      </w:tr>
      <w:tr w:rsidR="001445D0" w14:paraId="12901AF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CCEA61" w14:textId="77777777" w:rsidR="001445D0" w:rsidRDefault="00000000">
            <w:pPr>
              <w:spacing w:after="40"/>
            </w:pPr>
            <w:r>
              <w:rPr>
                <w:b/>
                <w:bCs/>
                <w:color w:val="333333"/>
                <w:sz w:val="20"/>
                <w:szCs w:val="20"/>
              </w:rPr>
              <w:t>Chrome / Slack / Telegram MCP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485EA2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Research, coordination, alerts</w:t>
            </w:r>
          </w:p>
        </w:tc>
        <w:tc>
          <w:tcPr>
            <w:tcW w:w="3480" w:type="dxa"/>
            <w:tcBorders>
              <w:top w:val="single" w:sz="1" w:space="0" w:color="E0E0E0"/>
              <w:left w:val="single" w:sz="1" w:space="0" w:color="E0E0E0"/>
              <w:bottom w:val="single" w:sz="1" w:space="0" w:color="E0E0E0"/>
              <w:right w:val="single" w:sz="1" w:space="0" w:color="E0E0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634D10" w14:textId="77777777" w:rsidR="001445D0" w:rsidRDefault="00000000">
            <w:pPr>
              <w:spacing w:after="40"/>
            </w:pPr>
            <w:r>
              <w:rPr>
                <w:color w:val="333333"/>
                <w:sz w:val="20"/>
                <w:szCs w:val="20"/>
              </w:rPr>
              <w:t>Active</w:t>
            </w:r>
          </w:p>
        </w:tc>
      </w:tr>
    </w:tbl>
    <w:p w14:paraId="3D67E38E" w14:textId="77777777" w:rsidR="001445D0" w:rsidRDefault="001445D0">
      <w:pPr>
        <w:spacing w:before="200"/>
      </w:pPr>
    </w:p>
    <w:p w14:paraId="5591864B" w14:textId="77777777" w:rsidR="001445D0" w:rsidRDefault="00000000">
      <w:pPr>
        <w:pStyle w:val="Heading2"/>
      </w:pPr>
      <w:r>
        <w:t>14.3 Scaling Requirements (Phase 2+)</w:t>
      </w:r>
    </w:p>
    <w:p w14:paraId="4AD9BE91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Academic partner: </w:t>
      </w:r>
      <w:r>
        <w:rPr>
          <w:color w:val="333333"/>
        </w:rPr>
        <w:t>1-2 researchers for peer review and model validation.</w:t>
      </w:r>
    </w:p>
    <w:p w14:paraId="1E7099EB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Sector specialist: </w:t>
      </w:r>
      <w:r>
        <w:rPr>
          <w:color w:val="333333"/>
        </w:rPr>
        <w:t>Domain expertise for sector adaptation guides.</w:t>
      </w:r>
    </w:p>
    <w:p w14:paraId="60CD8CA8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Pilot coordinator: </w:t>
      </w:r>
      <w:r>
        <w:rPr>
          <w:color w:val="333333"/>
        </w:rPr>
        <w:t>Dedicated resource for institutional pilot management.</w:t>
      </w:r>
    </w:p>
    <w:p w14:paraId="489A0364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Training developer: </w:t>
      </w:r>
      <w:r>
        <w:rPr>
          <w:color w:val="333333"/>
        </w:rPr>
        <w:t>Curriculum design for certification program.</w:t>
      </w:r>
    </w:p>
    <w:p w14:paraId="5780DE8E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Phase 1 budget: </w:t>
      </w:r>
      <w:r>
        <w:rPr>
          <w:color w:val="333333"/>
        </w:rPr>
        <w:t>Minimal — platform subscriptions and conference attendance.</w:t>
      </w:r>
    </w:p>
    <w:p w14:paraId="05E6D584" w14:textId="77777777" w:rsidR="001445D0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color w:val="0B1D3A"/>
        </w:rPr>
        <w:t xml:space="preserve">Phase 2 budget: </w:t>
      </w:r>
      <w:r>
        <w:rPr>
          <w:color w:val="333333"/>
        </w:rPr>
        <w:t>Pilot implementation costs, training development, certification body setup.</w:t>
      </w:r>
    </w:p>
    <w:p w14:paraId="0399D9F6" w14:textId="77777777" w:rsidR="001445D0" w:rsidRDefault="001445D0">
      <w:pPr>
        <w:spacing w:before="400"/>
      </w:pPr>
    </w:p>
    <w:p w14:paraId="404B5DE7" w14:textId="77777777" w:rsidR="001445D0" w:rsidRDefault="00000000">
      <w:pPr>
        <w:spacing w:after="60"/>
        <w:jc w:val="center"/>
      </w:pPr>
      <w:r>
        <w:rPr>
          <w:color w:val="C9A84C"/>
          <w:sz w:val="20"/>
          <w:szCs w:val="20"/>
        </w:rPr>
        <w:t>________________________________________</w:t>
      </w:r>
    </w:p>
    <w:p w14:paraId="265E2EDA" w14:textId="77777777" w:rsidR="001445D0" w:rsidRDefault="00000000">
      <w:pPr>
        <w:spacing w:after="400"/>
        <w:jc w:val="center"/>
      </w:pPr>
      <w:r>
        <w:rPr>
          <w:i/>
          <w:iCs/>
          <w:color w:val="142952"/>
        </w:rPr>
        <w:t>This document is an action plan, not a system description. Every recommendation is grounded in the analysis of standards that achieved global adoption. DCOS occupies a vacant space — the question is not whether there is a need, but who will fill it first.</w:t>
      </w:r>
    </w:p>
    <w:p w14:paraId="32A5C354" w14:textId="77777777" w:rsidR="001445D0" w:rsidRDefault="00000000">
      <w:pPr>
        <w:jc w:val="center"/>
      </w:pPr>
      <w:r>
        <w:rPr>
          <w:i/>
          <w:iCs/>
          <w:color w:val="999999"/>
          <w:sz w:val="18"/>
          <w:szCs w:val="18"/>
        </w:rPr>
        <w:t>Confidential — For Institutional Leadership Review</w:t>
      </w:r>
    </w:p>
    <w:sectPr w:rsidR="001445D0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66021" w14:textId="77777777" w:rsidR="00667CD3" w:rsidRDefault="00667CD3">
      <w:r>
        <w:separator/>
      </w:r>
    </w:p>
  </w:endnote>
  <w:endnote w:type="continuationSeparator" w:id="0">
    <w:p w14:paraId="4445AC60" w14:textId="77777777" w:rsidR="00667CD3" w:rsidRDefault="0066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2712" w14:textId="54ED6B66" w:rsidR="001445D0" w:rsidRDefault="00000000">
    <w:pP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226DC0">
      <w:rPr>
        <w:noProof/>
        <w:color w:val="999999"/>
        <w:sz w:val="16"/>
        <w:szCs w:val="16"/>
      </w:rPr>
      <w:t>2</w:t>
    </w:r>
    <w:r>
      <w:rPr>
        <w:color w:val="99999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37F3" w14:textId="333E16CD" w:rsidR="001445D0" w:rsidRDefault="00000000">
    <w:pP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226DC0">
      <w:rPr>
        <w:noProof/>
        <w:color w:val="999999"/>
        <w:sz w:val="16"/>
        <w:szCs w:val="16"/>
      </w:rPr>
      <w:t>3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DBB6" w14:textId="77777777" w:rsidR="00667CD3" w:rsidRDefault="00667CD3">
      <w:r>
        <w:separator/>
      </w:r>
    </w:p>
  </w:footnote>
  <w:footnote w:type="continuationSeparator" w:id="0">
    <w:p w14:paraId="6F99A81A" w14:textId="77777777" w:rsidR="00667CD3" w:rsidRDefault="0066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D121" w14:textId="77777777" w:rsidR="001445D0" w:rsidRDefault="00000000">
    <w:pPr>
      <w:jc w:val="right"/>
    </w:pPr>
    <w:r>
      <w:rPr>
        <w:i/>
        <w:iCs/>
        <w:color w:val="999999"/>
        <w:sz w:val="16"/>
        <w:szCs w:val="16"/>
      </w:rPr>
      <w:t>DCOS v6.0 — Strategic Development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DF69" w14:textId="77777777" w:rsidR="001445D0" w:rsidRDefault="00000000">
    <w:pPr>
      <w:jc w:val="right"/>
    </w:pPr>
    <w:r>
      <w:rPr>
        <w:i/>
        <w:iCs/>
        <w:color w:val="999999"/>
        <w:sz w:val="16"/>
        <w:szCs w:val="16"/>
      </w:rPr>
      <w:t>DCOS v6.0 — Strategic Development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3EB"/>
    <w:multiLevelType w:val="hybridMultilevel"/>
    <w:tmpl w:val="7E6C6EE6"/>
    <w:lvl w:ilvl="0" w:tplc="F946777E">
      <w:start w:val="1"/>
      <w:numFmt w:val="bullet"/>
      <w:lvlText w:val="•"/>
      <w:lvlJc w:val="left"/>
      <w:pPr>
        <w:ind w:left="720" w:hanging="360"/>
      </w:pPr>
    </w:lvl>
    <w:lvl w:ilvl="1" w:tplc="A1CEC7DA">
      <w:start w:val="1"/>
      <w:numFmt w:val="bullet"/>
      <w:lvlText w:val="◦"/>
      <w:lvlJc w:val="left"/>
      <w:pPr>
        <w:ind w:left="1080" w:hanging="360"/>
      </w:pPr>
    </w:lvl>
    <w:lvl w:ilvl="2" w:tplc="AC5A8FB8">
      <w:numFmt w:val="decimal"/>
      <w:lvlText w:val=""/>
      <w:lvlJc w:val="left"/>
    </w:lvl>
    <w:lvl w:ilvl="3" w:tplc="26D40D0E">
      <w:numFmt w:val="decimal"/>
      <w:lvlText w:val=""/>
      <w:lvlJc w:val="left"/>
    </w:lvl>
    <w:lvl w:ilvl="4" w:tplc="1ACC8BD4">
      <w:numFmt w:val="decimal"/>
      <w:lvlText w:val=""/>
      <w:lvlJc w:val="left"/>
    </w:lvl>
    <w:lvl w:ilvl="5" w:tplc="B046E0A0">
      <w:numFmt w:val="decimal"/>
      <w:lvlText w:val=""/>
      <w:lvlJc w:val="left"/>
    </w:lvl>
    <w:lvl w:ilvl="6" w:tplc="0DF6D622">
      <w:numFmt w:val="decimal"/>
      <w:lvlText w:val=""/>
      <w:lvlJc w:val="left"/>
    </w:lvl>
    <w:lvl w:ilvl="7" w:tplc="5768BCD6">
      <w:numFmt w:val="decimal"/>
      <w:lvlText w:val=""/>
      <w:lvlJc w:val="left"/>
    </w:lvl>
    <w:lvl w:ilvl="8" w:tplc="FBCC86F6">
      <w:numFmt w:val="decimal"/>
      <w:lvlText w:val=""/>
      <w:lvlJc w:val="left"/>
    </w:lvl>
  </w:abstractNum>
  <w:abstractNum w:abstractNumId="1" w15:restartNumberingAfterBreak="0">
    <w:nsid w:val="2D9A3920"/>
    <w:multiLevelType w:val="hybridMultilevel"/>
    <w:tmpl w:val="8432E4F2"/>
    <w:lvl w:ilvl="0" w:tplc="D2F2290A">
      <w:start w:val="1"/>
      <w:numFmt w:val="bullet"/>
      <w:lvlText w:val="●"/>
      <w:lvlJc w:val="left"/>
      <w:pPr>
        <w:ind w:left="720" w:hanging="360"/>
      </w:pPr>
    </w:lvl>
    <w:lvl w:ilvl="1" w:tplc="CCFA0CFC">
      <w:start w:val="1"/>
      <w:numFmt w:val="bullet"/>
      <w:lvlText w:val="○"/>
      <w:lvlJc w:val="left"/>
      <w:pPr>
        <w:ind w:left="1440" w:hanging="360"/>
      </w:pPr>
    </w:lvl>
    <w:lvl w:ilvl="2" w:tplc="5BDA1E7C">
      <w:start w:val="1"/>
      <w:numFmt w:val="bullet"/>
      <w:lvlText w:val="■"/>
      <w:lvlJc w:val="left"/>
      <w:pPr>
        <w:ind w:left="2160" w:hanging="360"/>
      </w:pPr>
    </w:lvl>
    <w:lvl w:ilvl="3" w:tplc="EB56C2B8">
      <w:start w:val="1"/>
      <w:numFmt w:val="bullet"/>
      <w:lvlText w:val="●"/>
      <w:lvlJc w:val="left"/>
      <w:pPr>
        <w:ind w:left="2880" w:hanging="360"/>
      </w:pPr>
    </w:lvl>
    <w:lvl w:ilvl="4" w:tplc="9774ABC0">
      <w:start w:val="1"/>
      <w:numFmt w:val="bullet"/>
      <w:lvlText w:val="○"/>
      <w:lvlJc w:val="left"/>
      <w:pPr>
        <w:ind w:left="3600" w:hanging="360"/>
      </w:pPr>
    </w:lvl>
    <w:lvl w:ilvl="5" w:tplc="7AC430A6">
      <w:start w:val="1"/>
      <w:numFmt w:val="bullet"/>
      <w:lvlText w:val="■"/>
      <w:lvlJc w:val="left"/>
      <w:pPr>
        <w:ind w:left="4320" w:hanging="360"/>
      </w:pPr>
    </w:lvl>
    <w:lvl w:ilvl="6" w:tplc="B9AED9A0">
      <w:start w:val="1"/>
      <w:numFmt w:val="bullet"/>
      <w:lvlText w:val="●"/>
      <w:lvlJc w:val="left"/>
      <w:pPr>
        <w:ind w:left="5040" w:hanging="360"/>
      </w:pPr>
    </w:lvl>
    <w:lvl w:ilvl="7" w:tplc="6CE63442">
      <w:start w:val="1"/>
      <w:numFmt w:val="bullet"/>
      <w:lvlText w:val="●"/>
      <w:lvlJc w:val="left"/>
      <w:pPr>
        <w:ind w:left="5760" w:hanging="360"/>
      </w:pPr>
    </w:lvl>
    <w:lvl w:ilvl="8" w:tplc="0F80F97A">
      <w:start w:val="1"/>
      <w:numFmt w:val="bullet"/>
      <w:lvlText w:val="●"/>
      <w:lvlJc w:val="left"/>
      <w:pPr>
        <w:ind w:left="6480" w:hanging="360"/>
      </w:pPr>
    </w:lvl>
  </w:abstractNum>
  <w:num w:numId="1" w16cid:durableId="1875927052">
    <w:abstractNumId w:val="1"/>
    <w:lvlOverride w:ilvl="0">
      <w:startOverride w:val="1"/>
    </w:lvlOverride>
  </w:num>
  <w:num w:numId="2" w16cid:durableId="1350376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5D0"/>
    <w:rsid w:val="001445D0"/>
    <w:rsid w:val="00226DC0"/>
    <w:rsid w:val="00667CD3"/>
    <w:rsid w:val="00DB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CC0D4F0"/>
  <w15:docId w15:val="{4A3039CE-C0AA-894C-B9A4-1602670F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00" w:after="200"/>
      <w:outlineLvl w:val="0"/>
    </w:pPr>
    <w:rPr>
      <w:rFonts w:ascii="Georgia" w:eastAsia="Georgia" w:hAnsi="Georgia" w:cs="Georgia"/>
      <w:b/>
      <w:bCs/>
      <w:color w:val="0B1D3A"/>
      <w:sz w:val="36"/>
      <w:szCs w:val="36"/>
    </w:rPr>
  </w:style>
  <w:style w:type="paragraph" w:styleId="Heading2">
    <w:name w:val="heading 2"/>
    <w:uiPriority w:val="9"/>
    <w:unhideWhenUsed/>
    <w:qFormat/>
    <w:pPr>
      <w:spacing w:before="300" w:after="150"/>
      <w:outlineLvl w:val="1"/>
    </w:pPr>
    <w:rPr>
      <w:rFonts w:ascii="Georgia" w:eastAsia="Georgia" w:hAnsi="Georgia" w:cs="Georgia"/>
      <w:b/>
      <w:bCs/>
      <w:color w:val="142952"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3090</Words>
  <Characters>17616</Characters>
  <Application>Microsoft Office Word</Application>
  <DocSecurity>0</DocSecurity>
  <Lines>146</Lines>
  <Paragraphs>41</Paragraphs>
  <ScaleCrop>false</ScaleCrop>
  <Company/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DCOS v6.0 — Strategic Development Plan</dc:title>
  <dc:creator>DCOS Project — Amine Messaoudi</dc:creator>
  <cp:lastModifiedBy>AMINE MESSAOUDI</cp:lastModifiedBy>
  <cp:revision>2</cp:revision>
  <dcterms:created xsi:type="dcterms:W3CDTF">2026-03-26T21:11:00Z</dcterms:created>
  <dcterms:modified xsi:type="dcterms:W3CDTF">2026-03-26T21:29:00Z</dcterms:modified>
</cp:coreProperties>
</file>