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</w:pPr>
    </w:p>
    <w:p>
      <w:pPr>
        <w:spacing w:after="100"/>
        <w:jc w:val="center"/>
      </w:pPr>
      <w:r>
        <w:rPr>
          <w:rFonts w:ascii="Georgia" w:cs="Georgia" w:eastAsia="Georgia" w:hAnsi="Georgia"/>
          <w:b/>
          <w:bCs/>
          <w:color w:val="0B1D3A"/>
          <w:sz w:val="72"/>
          <w:szCs w:val="72"/>
        </w:rPr>
        <w:t xml:space="preserve">DCOS</w:t>
      </w:r>
    </w:p>
    <w:p>
      <w:pPr>
        <w:spacing w:after="40"/>
        <w:jc w:val="center"/>
      </w:pPr>
      <w:r>
        <w:rPr>
          <w:rFonts w:ascii="Georgia" w:cs="Georgia" w:eastAsia="Georgia" w:hAnsi="Georgia"/>
          <w:color w:val="142952"/>
          <w:sz w:val="32"/>
          <w:szCs w:val="32"/>
        </w:rPr>
        <w:t xml:space="preserve">Decision Control Operating System</w:t>
      </w:r>
    </w:p>
    <w:p>
      <w:pPr>
        <w:pBdr>
          <w:bottom w:val="single" w:color="C9A84C" w:sz="6"/>
        </w:pBdr>
        <w:spacing w:after="80" w:before="80"/>
      </w:pPr>
    </w:p>
    <w:p>
      <w:pPr>
        <w:spacing w:before="200"/>
      </w:pPr>
    </w:p>
    <w:p>
      <w:pPr>
        <w:spacing w:after="80"/>
        <w:jc w:val="center"/>
      </w:pPr>
      <w:r>
        <w:rPr>
          <w:rFonts w:ascii="Georgia" w:cs="Georgia" w:eastAsia="Georgia" w:hAnsi="Georgia"/>
          <w:b/>
          <w:bCs/>
          <w:color w:val="C9A84C"/>
          <w:sz w:val="44"/>
          <w:szCs w:val="44"/>
        </w:rPr>
        <w:t xml:space="preserve">PROJECT CHARTER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666666"/>
          <w:sz w:val="24"/>
          <w:szCs w:val="24"/>
        </w:rPr>
        <w:t xml:space="preserve">Version 1.0</w:t>
      </w:r>
    </w:p>
    <w:p>
      <w:pPr>
        <w:spacing w:after="600"/>
        <w:jc w:val="center"/>
      </w:pPr>
      <w:r>
        <w:rPr>
          <w:rFonts w:ascii="Calibri" w:cs="Calibri" w:eastAsia="Calibri" w:hAnsi="Calibri"/>
          <w:color w:val="666666"/>
          <w:sz w:val="24"/>
          <w:szCs w:val="24"/>
        </w:rPr>
        <w:t xml:space="preserve">March 2026</w:t>
      </w:r>
    </w:p>
    <w:p>
      <w:pPr>
        <w:spacing w:before="400"/>
      </w:pPr>
    </w:p>
    <w:p>
      <w:pPr>
        <w:pBdr>
          <w:top w:val="single" w:color="E8D5A0" w:sz="2"/>
        </w:pBdr>
        <w:spacing w:after="40"/>
        <w:jc w:val="center"/>
      </w:pPr>
    </w:p>
    <w:p>
      <w:pPr>
        <w:spacing w:after="40"/>
        <w:jc w:val="center"/>
      </w:pPr>
      <w:r>
        <w:rPr>
          <w:rFonts w:ascii="Calibri" w:cs="Calibri" w:eastAsia="Calibri" w:hAnsi="Calibri"/>
          <w:color w:val="0B1D3A"/>
          <w:sz w:val="22"/>
          <w:szCs w:val="22"/>
        </w:rPr>
        <w:t xml:space="preserve">Prepared by: Amine Messaoudi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Service Development Specialist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ICESCO — Sector of Strategy &amp; Institutional Excellence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Digital Transformation Department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999999"/>
          <w:sz w:val="18"/>
          <w:szCs w:val="18"/>
        </w:rPr>
        <w:t xml:space="preserve">Classification: </w:t>
      </w:r>
      <w:r>
        <w:rPr>
          <w:rFonts w:ascii="Calibri" w:cs="Calibri" w:eastAsia="Calibri" w:hAnsi="Calibri"/>
          <w:b/>
          <w:bCs/>
          <w:color w:val="C9A84C"/>
          <w:sz w:val="18"/>
          <w:szCs w:val="18"/>
        </w:rPr>
        <w:t xml:space="preserve">Internal — Strategic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999999"/>
          <w:sz w:val="18"/>
          <w:szCs w:val="18"/>
        </w:rPr>
        <w:t xml:space="preserve">Standards Alignment: </w:t>
      </w:r>
      <w:r>
        <w:rPr>
          <w:rFonts w:ascii="Calibri" w:cs="Calibri" w:eastAsia="Calibri" w:hAnsi="Calibri"/>
          <w:b/>
          <w:bCs/>
          <w:color w:val="0D9488"/>
          <w:sz w:val="18"/>
          <w:szCs w:val="18"/>
        </w:rPr>
        <w:t xml:space="preserve">PMBOK 7th Edition | ISO 21500:2021</w:t>
      </w:r>
    </w:p>
    <w:p>
      <w:r>
        <w:br w:type="page"/>
      </w:r>
    </w:p>
    <w:p>
      <w:pPr>
        <w:sectPr>
          <w:pgSz w:w="11906" w:h="16838" w:orient="portrait"/>
          <w:pgMar w:top="1440" w:right="1727" w:bottom="1440" w:left="1727" w:header="708" w:footer="708" w:gutter="0"/>
          <w:pgNumType/>
          <w:docGrid w:linePitch="360"/>
        </w:sectPr>
      </w:pP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Document Title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Project Charter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Document ID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DCOS-GOV-CHR-001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27 March 2026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Author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Organization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ICESCO — Sector of Strategy &amp; Institutional Excellence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Department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Digital Transformation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Classification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Internal — Strategic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Standards Alignment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PMBOK 7th Edition, ISO 21500:2021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Revision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1.0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27 March 2026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A. Messaoudi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Initial charter creation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Table of Contents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1.   Project Title &amp; Version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2.   Project Purpose &amp; Justification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3.   Project Objectives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4.   Scope Statement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5.   Key Deliverables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6.   Milestones &amp; Stage-Gates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7.   Stakeholder Register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8.   Assumptions &amp; Constraints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9.   Risk Summary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10. Success Criteria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11. Project Governance Model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12. Authorization</w:t>
      </w:r>
    </w:p>
    <w:p>
      <w:pPr>
        <w:spacing w:after="80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Annex A: DCOS System Architecture Overview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Annex B: Acronyms &amp; Glossary</w:t>
      </w:r>
    </w:p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1. Project Title &amp; Version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Project Title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— Decision Control Operating System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Project Subtitle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From Concept to Global Standard for Institutional Decision Governance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Standard Version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v6.0 (14 Layers, 6 Governing Laws, Comprehensive Specification)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Charter Version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Charter Date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27 March 2026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Project Reference</w:t>
            </w:r>
          </w:p>
        </w:tc>
        <w:tc>
          <w:tcPr>
            <w:tcW w:type="pct" w:w="7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DCOS-2026-001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2. Project Purpose &amp; Justification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2.1 The Problem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Across institutions worldwide, a persistent contradiction endures: strategy is clear, capabilities are strong, execution is active — yet impact is inconsistent, delayed, or distorted. This is not an execution problem. It is a decision governance failure.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Institutions fail when decisions lose governing control as they move from intent to impact. Current management frameworks — including balanced scorecards, strategic planning models, and performance management systems — address fragments of this lifecycle but none provides an integrated, certifiable architecture for governing the complete decision journey.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2.2 The Solution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DCOS (Decision Control Operating System) is the first unified operating system that integrates the full decision lifecycle — from identity and intent through intelligence, viability, behavior, control, execution, resources, AI governance, impact, resilience, external intelligence, institutional learning, and stakeholder ecosystems — under a single coherent, scalable, sector-adaptable, and certifiable architecture.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2.3 Strategic Justification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Institutional Need: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No existing framework governs the complete decision-to-impact lifecycle. DCOS fills a structural gap in institutional governance.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Economic Impact: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Decision governance failures cost institutions billions annually through misallocated resources, desynchronized execution, and unattributable impact.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AI Governance Imperative: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As AI becomes embedded in institutional decision-making, a governance layer for human-AI arbitration and accountability is essential.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ISO-Grade Ambition: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DCOS is designed from inception as a certifiable standard, aligning with ISO 21500 project governance principles and targeting future ISO submission.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ICESCO Alignment: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The project directly supports ICESCO’s mandate for institutional excellence and digital transformation across its 54 member states.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2.4 Core Thesis</w:t>
      </w:r>
    </w:p>
    <w:p>
      <w:pPr>
        <w:pBdr>
          <w:left w:val="single" w:color="C9A84C" w:sz="12"/>
        </w:pBdr>
        <w:spacing w:after="80" w:before="80"/>
        <w:ind w:left="720" w:right="720"/>
      </w:pPr>
      <w:r>
        <w:rPr>
          <w:rFonts w:ascii="Georgia" w:cs="Georgia" w:eastAsia="Georgia" w:hAnsi="Georgia"/>
          <w:i/>
          <w:iCs/>
          <w:color w:val="0B1D3A"/>
          <w:sz w:val="22"/>
          <w:szCs w:val="22"/>
        </w:rPr>
        <w:t xml:space="preserve">"Institutions fail when decisions lose governing control as they move from intent to impact. DCOS ensures: control is maintained, impact is proven, and performance is no longer left to chance but governed by design."</w:t>
      </w:r>
    </w:p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3. Project Objectives</w:t>
      </w:r>
    </w:p>
    <w:p>
      <w:pPr>
        <w:pBdr>
          <w:bottom w:val="single" w:color="C9A84C" w:sz="6"/>
        </w:pBdr>
        <w:spacing w:after="80" w:before="80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objectives are structured following SMART criteria (Specific, Measurable, Achievable, Relevant, Time-bound) per PMBOK 7th Edition guidelines.</w:t>
      </w:r>
    </w:p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Objective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Measure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Timeline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O1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Formalize the DCOS v6.0 standard specification across all 14 layers and 6 governing laws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Layer specs completed and peer-reviewed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20 specifications (14 layers + 6 laws)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S1: Q2 2026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O2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Develop and validate all quantitative models (IQP, DIEM, RI, Maturity Model)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Model specifications with calculation engines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 model specifications with worked examples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S1: Q2 2026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O3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Build and deploy the DCOS digital platform (portal, dashboard, assessment tool)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Platform live with core functionality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 web applications deployed on Vercel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S2: Q3 2026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O4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Produce sector application guides for 6 priority sectors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Guides published and validated by sector experts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6 sector guides (Healthcare, Finance, Defense, Government, Infrastructure, Technology)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S2: Q4 2026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O5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Establish DCOS thought leadership through content production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Content published and engagement metrics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10 posts, 3 articles, 3 carousels minimum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S3: Q3 2026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O6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Achieve brand recognition as a credible decision governance standard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LinkedIn followers, website traffic, citation count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1,000 followers, 5,000 monthly visitors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S3: Q4 2026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O7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Prepare and submit ISO standardization proposal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ISO submission package complete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Full submission documentation prepared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S4: Q2 2027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O8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Execute first pilot implementation in a real institution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Pilot completed with measurable results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 institutional pilot with before/after metrics</w:t>
            </w:r>
          </w:p>
        </w:tc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S4: Q4 2027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4. Scope Statement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4.1 In-Scope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Complete formalization of the DCOS v6.0 standard (14 layers, 6 laws, inter-layer dynamics)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Development of quantitative models: IQP, DIEM, Resilience Index, Maturity Model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Sector application guides for 6 priority sectors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Digital platform: web portal, executive control dashboard, online assessment tool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Brand identity system: logo, visual language, document templates, diagram library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Content production engine: LinkedIn posts, long-form articles, visual carousels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Project governance artifacts: WBS, risk register, milestone tracker, decision log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Practitioner toolkit: templates, checklists, assessment instruments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Certification framework specification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Trilingual content production (English, French, Arabic)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ISO submission preparation documentation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4.2 Out-of-Scope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Software product development (DCOS is a governance standard, not a software product)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Proprietary consulting services or paid advisory engagements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Full ISO accreditation process execution (scope limited to submission preparation)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Implementation at third-party institutions beyond the designated pilot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Legal entity formation for a DCOS governance body (Phase 4+ activity)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Training and certification program delivery (specification only in scope)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Academic journal publication process (research agenda specification only)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4.3 Scope Boundaries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Dimension</w:t>
            </w:r>
          </w:p>
        </w:tc>
        <w:tc>
          <w:tcPr>
            <w:tcW w:type="pct" w:w="7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Boundary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Geographic</w:t>
            </w:r>
          </w:p>
        </w:tc>
        <w:tc>
          <w:tcPr>
            <w:tcW w:type="pct" w:w="7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Global scope in design; initial content in English, French, Arabic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Sector</w:t>
            </w:r>
          </w:p>
        </w:tc>
        <w:tc>
          <w:tcPr>
            <w:tcW w:type="pct" w:w="7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6 priority sectors: Healthcare, Finance, Defense, Government, Infrastructure, Technology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Institutional Size</w:t>
            </w:r>
          </w:p>
        </w:tc>
        <w:tc>
          <w:tcPr>
            <w:tcW w:type="pct" w:w="7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Standard designed for medium-to-large institutions; SME adaptation deferred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Technology</w:t>
            </w:r>
          </w:p>
        </w:tc>
        <w:tc>
          <w:tcPr>
            <w:tcW w:type="pct" w:w="7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Web-based platform on Vercel; no native mobile applications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Operating Model</w:t>
            </w:r>
          </w:p>
        </w:tc>
        <w:tc>
          <w:tcPr>
            <w:tcW w:type="pct" w:w="7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Solo operator (Amine Messaoudi) with AI-assisted workflows (Claude Max)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5. Key Deliverables</w:t>
      </w:r>
    </w:p>
    <w:p>
      <w:pPr>
        <w:pBdr>
          <w:bottom w:val="single" w:color="C9A84C" w:sz="6"/>
        </w:pBdr>
        <w:spacing w:after="80" w:before="80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project comprises 7 workstreams producing 35 deliverables. Each deliverable is assigned a unique identifier for traceability.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5.1 WS1: Project Governance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pct" w:w="4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WS1-D01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Project Charter</w:t>
            </w:r>
          </w:p>
        </w:tc>
        <w:tc>
          <w:tcPr>
            <w:tcW w:type="pct" w:w="4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This document — defines scope, objectives, governance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WS1-D02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Work Breakdown Structure</w:t>
            </w:r>
          </w:p>
        </w:tc>
        <w:tc>
          <w:tcPr>
            <w:tcW w:type="pct" w:w="4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Hierarchical decomposition of all work packages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XLSX / Mermaid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WS1-D03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Risk Register</w:t>
            </w:r>
          </w:p>
        </w:tc>
        <w:tc>
          <w:tcPr>
            <w:tcW w:type="pct" w:w="4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Identified risks with probability, impact, response strategies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XLSX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WS1-D04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Milestone Tracker</w:t>
            </w:r>
          </w:p>
        </w:tc>
        <w:tc>
          <w:tcPr>
            <w:tcW w:type="pct" w:w="4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Stage-gate milestones with status tracking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XLSX / Dashboard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WS1-D05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Decision Log</w:t>
            </w:r>
          </w:p>
        </w:tc>
        <w:tc>
          <w:tcPr>
            <w:tcW w:type="pct" w:w="4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Record of all project-level decisions with rationale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XLSX / Supabase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5.2 WS2: Standard Formalization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1: Identity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Mission invariants, legitimacy, value boundaries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2: Intent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Strategic, operational, behavioral, impact intent structuring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3: Decision Intelligence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Classification, scenario-testing, bias control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WS2-D04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4: Decision Viability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Enforceability, legitimacy, coherence, survivability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WS2-D05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5: Behavioral Alignment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Adoption, incentive alignment, resistance management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WS2-D06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6: Decision Control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Continuous authority and integrity of decisions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WS2-D07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7: Execution Synchronization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Timing, sequencing, dependencies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WS2-D08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8: Resource Alignment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Resources follow decisions and intended impact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WS2-D09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9: AI Governance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AI-assisted decisions, human-AI arbitration, accountability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WS2-D10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10: Impact Governance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Measure, validate, audit, attribute real impact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11: Strategic Resilience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Shock absorption, recovery, strategic evolution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12: External Intelligence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Environmental signals, disruption anticipation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13: Institutional Learning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Knowledge capture, lesson extraction, quality compounding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WS2-D14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Layer 14: Stakeholder Ecosystem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Stakeholder mapping, monitoring, conflict resolution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WS2-D15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Law 1: Performance is Decision-Bounded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Formal specification with evidence criteria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WS2-D16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Law 2: Viability Precedes Control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Formal specification with evidence criteria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WS2-D17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Law 3: Realization is Behavior-Governed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Formal specification with evidence criteria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WS2-D18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Law 4: Execution is Sync-Constrained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Formal specification with evidence criteria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WS2-D19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Law 5: Learning Compounds Quality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Formal specification with evidence criteria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WS2-D20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Law 6: Resilience is Architectural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Formal specification with evidence criteria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5.3 WS3: Quantitative Models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WS3-D01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IQP Specification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Impact Quantification Protocol: formulae, worked examples, audit criteria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 + XLSX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WS3-D02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DIEM Specification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Decision Impact Economic Model: cost-benefit engine, scenario modeling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 + XLSX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WS3-D03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Resilience Index Specification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RI calculation: SAC, ARR, RTC components, weighting methodology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 + XLSX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WS3-D04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Maturity Model Specification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5-level model: assessment criteria, progression pathways, scoring rubric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 + XLSX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5.4 WS4: Sector Application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WS4-D01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Healthcare Sector Guide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application to healthcare institutions: patient safety, regulatory compliance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WS4-D02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Finance Sector Guide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for financial institutions: risk governance, compliance, fiduciary duty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WS4-D03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Defense Sector Guide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for defense organizations: operational decisions, chain of command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WS4-D04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Government Sector Guide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for public sector: policy decisions, public accountability, transparency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WS4-D05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Infrastructure Sector Guide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for infrastructure: project decisions, safety, lifecycle management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WS4-D06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Technology Sector Guide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for tech organizations: product decisions, innovation governance, AI ethics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5.5 WS5: Digital Platform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WS5-D01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DCOS Web Portal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Presentation site: standard overview, layers, laws, models, resources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Next.js / Vercel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WS5-D02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Executive Control Dashboard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Interactive dashboard: decision tracking, KPIs, maturity visualization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Next.js / Vercel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WS5-D03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Online Assessment Tool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Self-assessment: maturity scoring, gap analysis, recommendations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Next.js / Vercel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WS5-D04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UX/UI Design System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Component library, design tokens, accessibility standards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Figma / CSS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5.6 WS6: Content &amp; Thought Leadership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WS6-D01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LinkedIn Posts (10+)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One concept per post: layers, laws, paradigm shift, case studies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Text + Visual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WS6-D02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Long-Form Articles (3+)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Deep-dive articles on decision governance, impact science, AI governance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Article / Blog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WS6-D03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Visual Carousels (3+)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14 layers, 6 laws, paradigm shift — shareable visual content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Canva / PDF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WS6-D04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Editorial Calendar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12-month content plan with themes, deadlines, distribution channels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XLSX / Notion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5.7 WS7: Brand &amp; Visual Identity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WS7-D01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Logo &amp; Brand Mark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logo suite: primary, secondary, monochrome, favicon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SVG / PNG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WS7-D02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System Architecture Diagrams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14-layer architecture, inter-layer dynamics, governance flows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SVG / PNG</w:t>
            </w:r>
          </w:p>
        </w:tc>
      </w:tr>
      <w:tr>
        <w:tc>
          <w:tcPr>
            <w:tcW w:type="pct" w:w="1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WS7-D03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Document Templates</w:t>
            </w:r>
          </w:p>
        </w:tc>
        <w:tc>
          <w:tcPr>
            <w:tcW w:type="pct" w:w="4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Branded templates for specs, reports, presentations, one-pagers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DOCX / PPTX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5.8 Deliverable Summary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Workstream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Deliverable Count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WS1: Project Governance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WS2: Standard Formalization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WS3: Quantitative Models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WS4: Sector Application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6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WS5: Digital Platform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WS6: Content &amp; Thought Leadership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WS7: Brand &amp; Visual Identity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TOTAL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9A84C"/>
                <w:sz w:val="20"/>
                <w:szCs w:val="20"/>
              </w:rPr>
              <w:t xml:space="preserve">46 deliverables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6. Milestones &amp; Stage-Gates</w:t>
      </w:r>
    </w:p>
    <w:p>
      <w:pPr>
        <w:pBdr>
          <w:bottom w:val="single" w:color="C9A84C" w:sz="6"/>
        </w:pBdr>
        <w:spacing w:after="80" w:before="80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project is organized into 4 stages. Each stage concludes with a formal gate review where defined criteria must be met before proceeding.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6.1 Stage 1: Foundation (Q1–Q2 2026)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Gate Criteria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M1.1 Project Charter approved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March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Charter signed, governance model active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M1.2 Brand identity finalized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April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Logo, color system, templates approved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M1.3 All 14 layer specs drafted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May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First draft of each layer specification complete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M1.4 All 6 law specs drafted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May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First draft of each governing law complete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M1.5 Quantitative models specified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June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IQP, DIEM, RI, Maturity Model specs with worked examples</w:t>
            </w:r>
          </w:p>
        </w:tc>
      </w:tr>
    </w:tbl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333333"/>
          <w:sz w:val="22"/>
          <w:szCs w:val="22"/>
        </w:rPr>
        <w:t xml:space="preserve">Gate 1 Criteria: All 20 standard specifications in first-draft status. All 4 quantitative models specified. Brand identity system approved.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6.2 Stage 2: Expansion (Q3–Q4 2026)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Gate Criteria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M2.1 Web portal launched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July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Portal live with core content and architecture overview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M2.2 Executive dashboard MVP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August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Dashboard functional with sample data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M2.3 First 3 sector guides complete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September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Healthcare, Finance, Government guides published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M2.4 Online assessment tool live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October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Self-assessment functional and tested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M2.5 Remaining 3 sector guides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December 2026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Defense, Infrastructure, Technology guides published</w:t>
            </w:r>
          </w:p>
        </w:tc>
      </w:tr>
    </w:tbl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333333"/>
          <w:sz w:val="22"/>
          <w:szCs w:val="22"/>
        </w:rPr>
        <w:t xml:space="preserve">Gate 2 Criteria: Digital platform operational. 6 sector guides published. Standard specifications finalized (second draft).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6.3 Stage 3: Visibility (Q1–Q2 2027)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Gate Criteria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M3.1 LinkedIn Company Page live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January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Page created with initial content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M3.2 First 10 LinkedIn posts published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February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One post per key concept published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M3.3 First 3 articles published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March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Long-form articles on core topics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M3.4 Visual carousels published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March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 carousels: layers, laws, paradigm shift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M3.5 1,000 LinkedIn followers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June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Follower milestone achieved</w:t>
            </w:r>
          </w:p>
        </w:tc>
      </w:tr>
    </w:tbl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333333"/>
          <w:sz w:val="22"/>
          <w:szCs w:val="22"/>
        </w:rPr>
        <w:t xml:space="preserve">Gate 3 Criteria: Content engine operational. Measurable thought leadership traction. Community engagement established.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6.4 Stage 4: Authority (Q3–Q4 2027)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Gate Criteria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M4.1 Pilot institution identified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July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Partnership agreement signed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M4.2 Pilot implementation complete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October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DCOS deployed with before/after metrics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M4.3 Certification framework specified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November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Certification levels, criteria, process documented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M4.4 ISO submission package prepared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December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Complete submission documentation ready</w:t>
            </w:r>
          </w:p>
        </w:tc>
      </w:tr>
      <w:tr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M4.5 Annual Decision Governance Report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December 2027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First flagship publication released</w:t>
            </w:r>
          </w:p>
        </w:tc>
      </w:tr>
    </w:tbl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333333"/>
          <w:sz w:val="22"/>
          <w:szCs w:val="22"/>
        </w:rPr>
        <w:t xml:space="preserve">Gate 4 Criteria: Pilot results validated. ISO submission package complete. Decision Governance Report published. Governance body formation initiated.</w:t>
      </w:r>
    </w:p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7. Stakeholder Register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Stakeholder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Interest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Influence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Engagement Strategy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Amine Messaoudi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Project Lead / Creator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Full ownership; daily engagement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ICESCO Executive Management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Institutional Sponsor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Quarterly briefings; milestone reviews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Strategy &amp; Excellence Sector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Internal Advocate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Monthly updates; alignment checks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Digital Transformation Dept.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Technical Support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Bi-weekly coordination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ICESCO Member States (54)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Target Beneficiaries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Low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Content dissemination; sector guides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Decision Governance Community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Thought Leadership Audience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LinkedIn engagement; articles; events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ISO Technical Committee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Standards Body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Pre-submission engagement in S4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Academic/Research Community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Validation Partners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Research agenda; citations; peer review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Sector Practitioners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End Users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Sector guides; assessment tool; toolkit</w:t>
            </w:r>
          </w:p>
        </w:tc>
      </w:tr>
      <w:tr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AI Governance Community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Cross-Domain Interest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1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pct" w:w="4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Layer 9 thought leadership; publications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8. Assumptions &amp; Constraints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8.1 Assumptions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Assumption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Impact if Invalid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A1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Claude Max subscription remains available and functional throughout the project lifecycle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Severe — all production workflows depend on AI-assisted generation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A2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ICESCO institutional context provides credibility for a governance standard initiative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Moderate — alternative institutional anchoring would need to be established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A3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The decision governance gap is recognized by institutional leaders as a real, unaddressed problem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Severe — the entire value proposition depends on this recognition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A4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Vercel, Supabase, and Canva MCP integrations remain stable and available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Moderate — alternative platforms exist but would require migration effort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A5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Solo operator model can sustain the required output velocity across all 7 workstreams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 — timeline extensions or scope reduction would be necessary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A6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LinkedIn remains the primary platform for professional thought leadership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Low — content can be repurposed across alternative platforms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A7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English is sufficient as the primary language for global standard positioning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Low — French and Arabic phases already planned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A8</w:t>
            </w:r>
          </w:p>
        </w:tc>
        <w:tc>
          <w:tcPr>
            <w:tcW w:type="pct" w:w="5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ISO submission process will accept proposals from individual institutional contributors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High — may require governance body formation before submission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8.2 Constraints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Constraint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Mitigation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C1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Solo operator — single person executing all workstreams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Resource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AI-assisted workflows maximize throughput; strict prioritization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C2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 dedicated budget — operates within existing ICESCO role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Financial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Leverage free/included tools; Claude Max as primary investment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C3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Must align with ICESCO institutional policies and brand standards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Organizational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Regular alignment reviews; dual-brand approach where needed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C4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Time is split between DCOS project and regular ICESCO duties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Schedule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Structured time allocation; AI handles production while Amine reviews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C5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 formal research team for academic validation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Quality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Leverage AI for literature review; engage academic community for peer review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C6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Technology stack limited to MCP-compatible tools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Technical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MCP ecosystem is expanding; core needs already covered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9. Risk Summary</w:t>
      </w:r>
    </w:p>
    <w:p>
      <w:pPr>
        <w:pBdr>
          <w:bottom w:val="single" w:color="C9A84C" w:sz="6"/>
        </w:pBdr>
        <w:spacing w:after="80" w:before="80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Top 10 project risks identified through initial assessment. Each risk is rated on Probability (1–5) and Impact (1–5), yielding a Risk Score (P x I).</w:t>
      </w:r>
    </w:p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Risk Description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Score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Response Strategy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R01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Solo operator burnout or capacity overload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Resource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C0000"/>
                <w:sz w:val="20"/>
                <w:szCs w:val="20"/>
              </w:rPr>
              <w:t xml:space="preserve">20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Strict prioritization; phase-gated scope; AI maximization; sustainable pace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R02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AI tooling disruption (Claude Max unavailability or capability regression)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Technical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C6600"/>
                <w:sz w:val="20"/>
                <w:szCs w:val="20"/>
              </w:rPr>
              <w:t xml:space="preserve">10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Document all prompts and workflows; maintain exportable content; version control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R03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Insufficient market recognition of decision governance as a distinct discipline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Strategic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C6600"/>
                <w:sz w:val="20"/>
                <w:szCs w:val="20"/>
              </w:rPr>
              <w:t xml:space="preserve">12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Thought leadership campaign; empirical evidence from pilot; academic engagement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R04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ISO submission rejected or indefinitely delayed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External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9A84C"/>
                <w:sz w:val="20"/>
                <w:szCs w:val="20"/>
              </w:rPr>
              <w:t xml:space="preserve">9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Build independent credibility; community adoption as alternative path; engage early with TC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R05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Scope creep across 7 workstreams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Scope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C6600"/>
                <w:sz w:val="20"/>
                <w:szCs w:val="20"/>
              </w:rPr>
              <w:t xml:space="preserve">12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Strict stage-gate discipline; decision log; scope change control process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R06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Pilot institution partnership fails to materialize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Stakeholder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C6600"/>
                <w:sz w:val="20"/>
                <w:szCs w:val="20"/>
              </w:rPr>
              <w:t xml:space="preserve">12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Begin outreach early in S2; target ICESCO member institutions; offer pro-bono pilot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R07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Content quality inconsistency due to AI-generated volume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Quality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9A84C"/>
                <w:sz w:val="20"/>
                <w:szCs w:val="20"/>
              </w:rPr>
              <w:t xml:space="preserve">9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Human review before publish rule; editorial standards; quality checklists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R08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ICESCO institutional changes affect project support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Organizational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C9A84C"/>
                <w:sz w:val="20"/>
                <w:szCs w:val="20"/>
              </w:rPr>
              <w:t xml:space="preserve">8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Maintain project independence; portable architecture; external community building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R09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Competing frameworks emerge with similar positioning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Competitive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D9488"/>
                <w:sz w:val="20"/>
                <w:szCs w:val="20"/>
              </w:rPr>
              <w:t xml:space="preserve">6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First-mover advantage; deeper specification; certifiable architecture differentiation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R10</w:t>
            </w:r>
          </w:p>
        </w:tc>
        <w:tc>
          <w:tcPr>
            <w:tcW w:type="pct" w:w="22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Technology stack lock-in limits future scalability</w:t>
            </w:r>
          </w:p>
        </w:tc>
        <w:tc>
          <w:tcPr>
            <w:tcW w:type="pct" w:w="11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Technical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pct" w:w="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D9488"/>
                <w:sz w:val="20"/>
                <w:szCs w:val="20"/>
              </w:rPr>
              <w:t xml:space="preserve">4</w:t>
            </w:r>
          </w:p>
        </w:tc>
        <w:tc>
          <w:tcPr>
            <w:tcW w:type="pct" w:w="4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Standard web technologies; exportable data; open formats; documented APIs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9.1 Risk Matrix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Risk scoring: Critical (20–25), High (12–16), Medium (8–10), Low (1–6). R01 is the single critical risk, requiring active mitigation throughout the project lifecycle.</w:t>
      </w:r>
    </w:p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10. Success Criteria</w:t>
      </w:r>
    </w:p>
    <w:p>
      <w:pPr>
        <w:pBdr>
          <w:bottom w:val="single" w:color="C9A84C" w:sz="6"/>
        </w:pBdr>
        <w:spacing w:after="80" w:before="80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Project success will be evaluated against the following criteria at each stage gate and at project completion.</w:t>
      </w:r>
    </w:p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Success Criterion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Measurement Method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SC1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Standard Completeness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All 14 layer + 6 law specifications at final-draft status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20/20 specifications complete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SC2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Model Validation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Quantitative models tested with worked examples and edge cases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4/4 models validated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SC3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Platform Availability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Digital platform live and accessible with &lt;2% downtime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99%+ uptime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SC4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Sector Coverage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Sector guides covering all 6 priority sectors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6/6 guides published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SC5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Content Impact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LinkedIn engagement rate &gt;3% average across posts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&gt;3% engagement rate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SC6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Community Growth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LinkedIn follower count and website unique visitors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1,000 followers; 5,000/mo visitors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SC7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Pilot Outcomes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Measurable improvement in decision governance at pilot institution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Documented before/after results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SC8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ISO Readiness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Submission package evaluated as complete by independent reviewer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Positive readiness assessment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SC9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Academic Recognition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Citations, references, or peer review engagement from academic community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&gt;5 academic engagements</w:t>
            </w:r>
          </w:p>
        </w:tc>
      </w:tr>
      <w:tr>
        <w:tc>
          <w:tcPr>
            <w:tcW w:type="pct" w:w="6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SC10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Stakeholder Satisfaction</w:t>
            </w:r>
          </w:p>
        </w:tc>
        <w:tc>
          <w:tcPr>
            <w:tcW w:type="pct" w:w="44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Feedback from pilot participants and early adopters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&gt;80% satisfaction score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11. Project Governance Model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11.1 Decision Authority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Decision Type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Authority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Escalation Path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Day-to-day content &amp; production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 (Project Lead)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N/A — autonomous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Standard specification content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 (Project Lead)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Peer review engagement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Brand identity changes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 (Project Lead)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N/A — autonomous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Scope changes (within stage)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 (Project Lead)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Decision log entry required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Stage-gate progression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 with ICESCO alignment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Sector Head notification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Budget/resource requests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ICESCO Digital Transformation Dept.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Sector of Strategy &amp; Excellence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External partnerships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 + ICESCO approval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Executive Management</w:t>
            </w:r>
          </w:p>
        </w:tc>
      </w:tr>
      <w:tr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ISO submission decision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ICESCO Executive Management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Director General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11.2 Review Cadence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Review Type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Frequency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Participants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Output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Daily production review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Daily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(via AI dashboard)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Task completion tracking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Weekly progress assessment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Weekly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Progress notes; blocker identification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Monthly milestone review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Monthly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Milestone tracker update; risk register review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Stage-gate review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Per stage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+ ICESCO stakeholders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Go/No-Go decision; scope adjustment</w:t>
            </w:r>
          </w:p>
        </w:tc>
      </w:tr>
      <w:tr>
        <w:tc>
          <w:tcPr>
            <w:tcW w:type="pct" w:w="2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Quarterly strategic review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Quarterly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+ Sector management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Strategic alignment; resource assessment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11.3 Quality Assurance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All specifications follow ISO-grade rigor: 'shall' statements, control objectives, evidence criteria, audit metrics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Human review before publish: AI prepares, Amine validates every public-facing output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Peer review engagement for critical specifications (layers, laws, models)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Version control for all documents with change tracking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Decision log captures rationale for all significant project decisions</w:t>
      </w: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11.4 Communication Plan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Channel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Frequency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Audience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Slack (MCP)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Internal workflow coordination, notifications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Real-time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Project Lead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Telegram (MCP)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Mobile alerts, quick reviews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As needed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Project Lead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Supabase Dashboard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Decision tracking, content pipeline, analytics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Daily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Project Lead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LinkedIn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Thought leadership, community engagement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Per editorial calendar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External stakeholders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ICESCO Briefings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Institutional alignment, sponsorship updates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Quarterly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ICESCO management</w:t>
            </w:r>
          </w:p>
        </w:tc>
      </w:tr>
    </w:tbl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12. Authorization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This Project Charter formally authorizes the DCOS project to proceed through its defined stages, subject to the governance model and stage-gate criteria specified herein.</w:t>
      </w:r>
    </w:p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Title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Project Lead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Amine Messaoudi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Service Development Specialist, Digital Transformation Dept., ICESCO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 / __ / 2026</w:t>
            </w:r>
          </w:p>
        </w:tc>
      </w:tr>
      <w:tr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Institutional Sponsor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Director, Strategy &amp; Institutional Excellence Sector, ICESCO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 / __ / 2026</w:t>
            </w:r>
          </w:p>
        </w:tc>
      </w:tr>
      <w:tr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Technical Endorsement</w:t>
            </w:r>
          </w:p>
        </w:tc>
        <w:tc>
          <w:tcPr>
            <w:tcW w:type="pct" w:w="1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3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Head, Digital Transformation Department, ICESCO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____________________</w:t>
            </w:r>
          </w:p>
        </w:tc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__ / __ / 2026</w:t>
            </w:r>
          </w:p>
        </w:tc>
      </w:tr>
    </w:tbl>
    <w:p>
      <w:pPr>
        <w:spacing w:after="80"/>
      </w:pPr>
    </w:p>
    <w:p>
      <w:pPr>
        <w:spacing w:after="80"/>
      </w:pPr>
    </w:p>
    <w:p>
      <w:pPr>
        <w:pBdr>
          <w:left w:val="single" w:color="C9A84C" w:sz="12"/>
        </w:pBdr>
        <w:spacing w:after="80" w:before="200"/>
        <w:ind w:left="720" w:right="72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By signing this charter, the undersigned acknowledge and authorize the project scope, objectives, governance model, and resource commitments as described in this document. Stage-gate progression shall be subject to the criteria defined in Section 6.</w:t>
      </w:r>
    </w:p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Annex A: DCOS System Architecture Overview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A.1 The 14 Layers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Primary Function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Key Outputs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Identity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Mission invariants, legitimacy, value boundaries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Identity charter; value boundary map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Intent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Strategic, operational, behavioral, impact intent structuring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Intent registry; intent hierarchy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Decision Intelligence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Classification, scenario-testing, bias control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Decision classification matrix; bias audit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Decision Viability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Enforceability, legitimacy, coherence, survivability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Viability assessment; coherence check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Behavioral Alignment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Adoption, incentive alignment, resistance management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Adoption plan; resistance map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6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Decision Control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Continuous authority and integrity of decisions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Control dashboard; integrity alerts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7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Execution Synchronization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Timing, sequencing, dependencies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Sync map; dependency matrix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8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Resource Alignment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Resources follow decisions and intended impact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Resource allocation matrix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9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AI Governance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AI-assisted decisions, human-AI arbitration, accountability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AI decision log; arbitration protocol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10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Impact Governance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Measure, validate, audit, attribute real impact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IQP results; impact attribution report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11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Strategic Resilience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Shock absorption, recovery, strategic evolution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RI score; resilience protocol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External Intelligence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Environmental signals, disruption anticipation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Signal registry; horizon scan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13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Institutional Learning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Knowledge capture, lesson extraction, quality compounding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Lesson log; knowledge base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14</w:t>
            </w:r>
          </w:p>
        </w:tc>
        <w:tc>
          <w:tcPr>
            <w:tcW w:type="pct" w:w="18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Stakeholder Ecosystem</w:t>
            </w:r>
          </w:p>
        </w:tc>
        <w:tc>
          <w:tcPr>
            <w:tcW w:type="pct" w:w="4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Stakeholder mapping, monitoring, conflict resolution</w:t>
            </w:r>
          </w:p>
        </w:tc>
        <w:tc>
          <w:tcPr>
            <w:tcW w:type="pct" w:w="37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Stakeholder map; conflict register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A.2 The 6 Governing Laws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Law</w:t>
            </w:r>
          </w:p>
        </w:tc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Statement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L1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Performance is Decision-Bounded</w:t>
            </w:r>
          </w:p>
        </w:tc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 institution can outperform its decision governance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L2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Decision Viability Precedes Decision Control</w:t>
            </w:r>
          </w:p>
        </w:tc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Cannot control a non-viable decision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L3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Realization is Behavior-Governed</w:t>
            </w:r>
          </w:p>
        </w:tc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Decisions fail at the point of adoption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L4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Execution is Synchronization-Constrained</w:t>
            </w:r>
          </w:p>
        </w:tc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Desynchronization is the #1 undiagnosed execution failure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L5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Institutional Learning Compounds Decision Quality</w:t>
            </w:r>
          </w:p>
        </w:tc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Learn or repeat failures at increasing cost</w:t>
            </w:r>
          </w:p>
        </w:tc>
      </w:tr>
      <w:tr>
        <w:tc>
          <w:tcPr>
            <w:tcW w:type="pct" w:w="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L6</w:t>
            </w:r>
          </w:p>
        </w:tc>
        <w:tc>
          <w:tcPr>
            <w:tcW w:type="pct" w:w="35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Resilience is Architecturally Determined</w:t>
            </w:r>
          </w:p>
        </w:tc>
        <w:tc>
          <w:tcPr>
            <w:tcW w:type="pct" w:w="6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Cannot be improvised, must be engineered</w:t>
            </w:r>
          </w:p>
        </w:tc>
      </w:tr>
    </w:tbl>
    <w:p>
      <w:pPr>
        <w:spacing w:after="80"/>
      </w:pPr>
    </w:p>
    <w:p>
      <w:pPr>
        <w:pStyle w:val="Heading2"/>
        <w:spacing w:after="120" w:before="240"/>
      </w:pPr>
      <w:r>
        <w:rPr>
          <w:rFonts w:ascii="Georgia" w:cs="Georgia" w:eastAsia="Georgia" w:hAnsi="Georgia"/>
          <w:b/>
          <w:bCs/>
          <w:color w:val="0B1D3A"/>
          <w:sz w:val="26"/>
          <w:szCs w:val="26"/>
        </w:rPr>
        <w:t xml:space="preserve">A.3 Key Quantitative Models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IQP (Impact Quantification Protocol):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Impact = (Actual – Counterfactual) x Attribution Coefficient ± Confidence Interval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DIEM (Decision Impact Economic Model):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Economic Value = Impact Value – Control Loss + Synchronization Gain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RI (Resilience Index):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RI = (w1 x SAC + w2 x ARR + w3 x Inverse RTC) / (w1 + w2 + w3)</w:t>
      </w:r>
    </w:p>
    <w:p>
      <w:pPr>
        <w:spacing w:after="60" w:line="276"/>
        <w:ind w:left="720" w:hanging="360"/>
      </w:pPr>
      <w:r>
        <w:rPr>
          <w:rFonts w:ascii="Calibri" w:cs="Calibri" w:eastAsia="Calibri" w:hAnsi="Calibri"/>
          <w:color w:val="C9A84C"/>
          <w:sz w:val="22"/>
          <w:szCs w:val="22"/>
        </w:rPr>
        <w:t xml:space="preserve">•  </w:t>
      </w:r>
      <w:r>
        <w:rPr>
          <w:rFonts w:ascii="Calibri" w:cs="Calibri" w:eastAsia="Calibri" w:hAnsi="Calibri"/>
          <w:b/>
          <w:bCs/>
          <w:color w:val="0B1D3A"/>
          <w:sz w:val="22"/>
          <w:szCs w:val="22"/>
        </w:rPr>
        <w:t xml:space="preserve">Maturity Model: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5 levels: Fragmented → Structured → Integrated → Adaptive → Autonomous</w:t>
      </w:r>
    </w:p>
    <w:p>
      <w:r>
        <w:br w:type="page"/>
      </w:r>
    </w:p>
    <w:p>
      <w:pPr>
        <w:pStyle w:val="Heading1"/>
        <w:spacing w:after="120" w:before="400"/>
      </w:pPr>
      <w:r>
        <w:rPr>
          <w:rFonts w:ascii="Georgia" w:cs="Georgia" w:eastAsia="Georgia" w:hAnsi="Georgia"/>
          <w:b/>
          <w:bCs/>
          <w:color w:val="0B1D3A"/>
          <w:sz w:val="32"/>
          <w:szCs w:val="32"/>
        </w:rPr>
        <w:t xml:space="preserve">Annex B: Acronyms &amp; Glossary</w:t>
      </w:r>
    </w:p>
    <w:p>
      <w:pPr>
        <w:pBdr>
          <w:bottom w:val="single" w:color="C9A84C" w:sz="6"/>
        </w:pBdr>
        <w:spacing w:after="80" w:before="80"/>
      </w:pPr>
    </w:p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0B1D3A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DCOS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Decision Control Operating System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IQP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Impact Quantification Protocol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DIEM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Decision Impact Economic Model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RI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Resilience Index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SAC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Shock Absorption Capacity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ARR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Adaptive Recovery Rate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RTC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Recovery Time Cost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ICESCO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Islamic World Educational, Scientific and Cultural Organization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PMBOK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Project Management Body of Knowledge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ISO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International Organization for Standardization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WBS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Work Breakdown Structure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MCP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Model Context Protocol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MVP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Minimum Viable Product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KPI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Key Performance Indicator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SMART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Specific, Measurable, Achievable, Relevant, Time-bound</w:t>
            </w:r>
          </w:p>
        </w:tc>
      </w:tr>
      <w:tr>
        <w:tc>
          <w:tcPr>
            <w:tcW w:type="pct" w:w="2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b/>
                <w:bCs/>
                <w:color w:val="0B1D3A"/>
                <w:sz w:val="20"/>
                <w:szCs w:val="20"/>
              </w:rPr>
              <w:t xml:space="preserve">UX/UI</w:t>
            </w:r>
          </w:p>
        </w:tc>
        <w:tc>
          <w:tcPr>
            <w:tcW w:type="pct" w:w="80%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vAlign w:val="center"/>
          </w:tcPr>
          <w:p>
            <w:pPr>
              <w:spacing w:after="40" w:before="40"/>
              <w:ind w:left="8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User Experience / User Interface</w:t>
            </w:r>
          </w:p>
        </w:tc>
      </w:tr>
    </w:tbl>
    <w:p>
      <w:pPr>
        <w:spacing w:after="80"/>
      </w:pPr>
    </w:p>
    <w:p>
      <w:pPr>
        <w:spacing w:after="80"/>
      </w:pPr>
    </w:p>
    <w:p>
      <w:pPr>
        <w:spacing w:before="400"/>
        <w:jc w:val="center"/>
      </w:pPr>
      <w:r>
        <w:rPr>
          <w:rFonts w:ascii="Georgia" w:cs="Georgia" w:eastAsia="Georgia" w:hAnsi="Georgia"/>
          <w:i/>
          <w:iCs/>
          <w:color w:val="C9A84C"/>
          <w:sz w:val="22"/>
          <w:szCs w:val="22"/>
        </w:rPr>
        <w:t xml:space="preserve">— End of Document —</w:t>
      </w:r>
    </w:p>
    <w:sectPr>
      <w:headerReference w:type="default" r:id="rId7"/>
      <w:footerReference w:type="default" r:id="rId8"/>
      <w:pgSz w:w="11906" w:h="16838" w:orient="portrait"/>
      <w:pgMar w:top="1440" w:right="1727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5A0" w:sz="1"/>
      </w:pBdr>
      <w:spacing w:before="80"/>
      <w:jc w:val="center"/>
    </w:pPr>
    <w:r>
      <w:rPr>
        <w:rFonts w:ascii="Calibri" w:cs="Calibri" w:eastAsia="Calibri" w:hAnsi="Calibri"/>
        <w:color w:val="AAAAAA"/>
        <w:sz w:val="14"/>
        <w:szCs w:val="14"/>
      </w:rPr>
      <w:t xml:space="preserve">DCOS — Decision Control Operating System</w:t>
    </w:r>
    <w:r>
      <w:rPr>
        <w:rFonts w:ascii="Calibri" w:cs="Calibri" w:eastAsia="Calibri" w:hAnsi="Calibri"/>
        <w:color w:val="CCCCCC"/>
        <w:sz w:val="14"/>
        <w:szCs w:val="14"/>
      </w:rPr>
      <w:t xml:space="preserve">    |    Page </w:t>
    </w:r>
    <w:r>
      <w:rPr>
        <w:rFonts w:ascii="Calibri" w:cs="Calibri" w:eastAsia="Calibri" w:hAnsi="Calibri"/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CCCCCC"/>
        <w:sz w:val="14"/>
        <w:szCs w:val="14"/>
      </w:rPr>
      <w:t xml:space="preserve"> of </w:t>
    </w:r>
    <w:r>
      <w:rPr>
        <w:rFonts w:ascii="Calibri" w:cs="Calibri" w:eastAsia="Calibri" w:hAnsi="Calibri"/>
        <w:color w:val="99999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D5A0" w:sz="2"/>
      </w:pBdr>
      <w:spacing w:after="80"/>
      <w:jc w:val="right"/>
    </w:pPr>
    <w:r>
      <w:rPr>
        <w:rFonts w:ascii="Calibri" w:cs="Calibri" w:eastAsia="Calibri" w:hAnsi="Calibri"/>
        <w:i/>
        <w:iCs/>
        <w:color w:val="999999"/>
        <w:sz w:val="16"/>
        <w:szCs w:val="16"/>
      </w:rPr>
      <w:t xml:space="preserve">DCOS Project Charter v1.0</w:t>
    </w:r>
    <w:r>
      <w:rPr>
        <w:rFonts w:ascii="Calibri" w:cs="Calibri" w:eastAsia="Calibri" w:hAnsi="Calibri"/>
        <w:color w:val="CCCCCC"/>
        <w:sz w:val="16"/>
        <w:szCs w:val="16"/>
      </w:rPr>
      <w:t xml:space="preserve">    |    </w:t>
    </w:r>
    <w:r>
      <w:rPr>
        <w:rFonts w:ascii="Calibri" w:cs="Calibri" w:eastAsia="Calibri" w:hAnsi="Calibri"/>
        <w:color w:val="999999"/>
        <w:sz w:val="16"/>
        <w:szCs w:val="16"/>
      </w:rPr>
      <w:t xml:space="preserve">DCOS-GOV-CHR-001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Georgia" w:cs="Georgia" w:eastAsia="Georgia" w:hAnsi="Georgia"/>
      <w:b/>
      <w:bCs/>
      <w:color w:val="0B1D3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</w:pPr>
    <w:rPr>
      <w:rFonts w:ascii="Georgia" w:cs="Georgia" w:eastAsia="Georgia" w:hAnsi="Georgia"/>
      <w:b/>
      <w:bCs/>
      <w:color w:val="0B1D3A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</w:pPr>
    <w:rPr>
      <w:rFonts w:ascii="Georgia" w:cs="Georgia" w:eastAsia="Georgia" w:hAnsi="Georgia"/>
      <w:b/>
      <w:bCs/>
      <w:color w:val="142952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DCOS Project Charter v1.0</dc:title>
  <dc:creator>Amine Messaoudi</dc:creator>
  <dc:description>Comprehensive Project Charter for the Decision Control Operating System (DCOS) project, following PMBOK 7th Edition and ISO 21500 standards.</dc:description>
  <cp:lastModifiedBy>Un-named</cp:lastModifiedBy>
  <cp:revision>1</cp:revision>
  <dcterms:created xsi:type="dcterms:W3CDTF">2026-03-27T09:21:42.864Z</dcterms:created>
  <dcterms:modified xsi:type="dcterms:W3CDTF">2026-03-27T09:21:42.865Z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